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C92729" w:rsidRDefault="00D5547E" w:rsidP="004A6D2F">
      <w:pPr>
        <w:rPr>
          <w:color w:val="auto"/>
        </w:rPr>
      </w:pPr>
    </w:p>
    <w:tbl>
      <w:tblPr>
        <w:tblW w:w="0" w:type="auto"/>
        <w:tblInd w:w="108" w:type="dxa"/>
        <w:tblLayout w:type="fixed"/>
        <w:tblLook w:val="04A0" w:firstRow="1" w:lastRow="0" w:firstColumn="1" w:lastColumn="0" w:noHBand="0" w:noVBand="1"/>
      </w:tblPr>
      <w:tblGrid>
        <w:gridCol w:w="142"/>
        <w:gridCol w:w="709"/>
        <w:gridCol w:w="1320"/>
        <w:gridCol w:w="267"/>
        <w:gridCol w:w="6406"/>
        <w:gridCol w:w="370"/>
      </w:tblGrid>
      <w:tr w:rsidR="00C92729" w:rsidRPr="00575235" w:rsidTr="00737C85">
        <w:trPr>
          <w:gridAfter w:val="1"/>
          <w:wAfter w:w="370" w:type="dxa"/>
        </w:trPr>
        <w:tc>
          <w:tcPr>
            <w:tcW w:w="2438" w:type="dxa"/>
            <w:gridSpan w:val="4"/>
            <w:shd w:val="clear" w:color="auto" w:fill="auto"/>
          </w:tcPr>
          <w:p w:rsidR="00F445B1" w:rsidRPr="00575235" w:rsidRDefault="00F445B1" w:rsidP="004A6D2F">
            <w:pPr>
              <w:rPr>
                <w:rStyle w:val="Firstpagetablebold"/>
                <w:rFonts w:cs="Arial"/>
                <w:color w:val="auto"/>
              </w:rPr>
            </w:pPr>
            <w:r w:rsidRPr="00575235">
              <w:rPr>
                <w:rStyle w:val="Firstpagetablebold"/>
                <w:rFonts w:cs="Arial"/>
                <w:color w:val="auto"/>
              </w:rPr>
              <w:t>To</w:t>
            </w:r>
            <w:r w:rsidR="005C35A5" w:rsidRPr="00575235">
              <w:rPr>
                <w:rStyle w:val="Firstpagetablebold"/>
                <w:rFonts w:cs="Arial"/>
                <w:color w:val="auto"/>
              </w:rPr>
              <w:t>:</w:t>
            </w:r>
          </w:p>
        </w:tc>
        <w:tc>
          <w:tcPr>
            <w:tcW w:w="6406" w:type="dxa"/>
            <w:shd w:val="clear" w:color="auto" w:fill="auto"/>
          </w:tcPr>
          <w:p w:rsidR="00F445B1" w:rsidRPr="00575235" w:rsidRDefault="004711FC" w:rsidP="00A93DDA">
            <w:pPr>
              <w:rPr>
                <w:rStyle w:val="Firstpagetablebold"/>
                <w:rFonts w:cs="Arial"/>
                <w:color w:val="auto"/>
              </w:rPr>
            </w:pPr>
            <w:r w:rsidRPr="00575235">
              <w:rPr>
                <w:rStyle w:val="Firstpagetablebold"/>
                <w:rFonts w:cs="Arial"/>
                <w:color w:val="auto"/>
              </w:rPr>
              <w:t xml:space="preserve">Shareholder </w:t>
            </w:r>
            <w:r w:rsidR="00A93DDA">
              <w:rPr>
                <w:rStyle w:val="Firstpagetablebold"/>
                <w:rFonts w:cs="Arial"/>
                <w:color w:val="auto"/>
              </w:rPr>
              <w:t xml:space="preserve">and Joint Venture Group </w:t>
            </w:r>
          </w:p>
        </w:tc>
      </w:tr>
      <w:tr w:rsidR="00C92729" w:rsidRPr="00575235" w:rsidTr="00737C85">
        <w:trPr>
          <w:gridAfter w:val="1"/>
          <w:wAfter w:w="370" w:type="dxa"/>
        </w:trPr>
        <w:tc>
          <w:tcPr>
            <w:tcW w:w="2438" w:type="dxa"/>
            <w:gridSpan w:val="4"/>
            <w:shd w:val="clear" w:color="auto" w:fill="auto"/>
          </w:tcPr>
          <w:p w:rsidR="00F445B1" w:rsidRPr="00575235" w:rsidRDefault="00F445B1" w:rsidP="004A6D2F">
            <w:pPr>
              <w:rPr>
                <w:rStyle w:val="Firstpagetablebold"/>
                <w:rFonts w:cs="Arial"/>
                <w:color w:val="auto"/>
              </w:rPr>
            </w:pPr>
            <w:r w:rsidRPr="00575235">
              <w:rPr>
                <w:rStyle w:val="Firstpagetablebold"/>
                <w:rFonts w:cs="Arial"/>
                <w:color w:val="auto"/>
              </w:rPr>
              <w:t>Dat</w:t>
            </w:r>
            <w:r w:rsidR="005C35A5" w:rsidRPr="00575235">
              <w:rPr>
                <w:rStyle w:val="Firstpagetablebold"/>
                <w:rFonts w:cs="Arial"/>
                <w:color w:val="auto"/>
              </w:rPr>
              <w:t>e:</w:t>
            </w:r>
          </w:p>
        </w:tc>
        <w:tc>
          <w:tcPr>
            <w:tcW w:w="6406" w:type="dxa"/>
            <w:shd w:val="clear" w:color="auto" w:fill="auto"/>
          </w:tcPr>
          <w:p w:rsidR="00F445B1" w:rsidRPr="00575235" w:rsidRDefault="00C0652D" w:rsidP="00A93DDA">
            <w:pPr>
              <w:rPr>
                <w:rFonts w:cs="Arial"/>
                <w:b/>
                <w:color w:val="auto"/>
              </w:rPr>
            </w:pPr>
            <w:r w:rsidRPr="00575235">
              <w:rPr>
                <w:rStyle w:val="Firstpagetablebold"/>
                <w:rFonts w:cs="Arial"/>
                <w:color w:val="auto"/>
              </w:rPr>
              <w:t>23 September</w:t>
            </w:r>
            <w:r w:rsidR="009347AE" w:rsidRPr="00575235">
              <w:rPr>
                <w:rStyle w:val="Firstpagetablebold"/>
                <w:rFonts w:cs="Arial"/>
                <w:color w:val="auto"/>
              </w:rPr>
              <w:t xml:space="preserve"> 2019</w:t>
            </w:r>
          </w:p>
        </w:tc>
      </w:tr>
      <w:tr w:rsidR="00C92729" w:rsidRPr="00575235" w:rsidTr="00737C85">
        <w:trPr>
          <w:gridAfter w:val="1"/>
          <w:wAfter w:w="370" w:type="dxa"/>
        </w:trPr>
        <w:tc>
          <w:tcPr>
            <w:tcW w:w="2438" w:type="dxa"/>
            <w:gridSpan w:val="4"/>
            <w:shd w:val="clear" w:color="auto" w:fill="auto"/>
          </w:tcPr>
          <w:p w:rsidR="00F445B1" w:rsidRPr="00575235" w:rsidRDefault="00F445B1" w:rsidP="004A6D2F">
            <w:pPr>
              <w:rPr>
                <w:rStyle w:val="Firstpagetablebold"/>
                <w:rFonts w:cs="Arial"/>
                <w:color w:val="auto"/>
              </w:rPr>
            </w:pPr>
            <w:r w:rsidRPr="00575235">
              <w:rPr>
                <w:rStyle w:val="Firstpagetablebold"/>
                <w:rFonts w:cs="Arial"/>
                <w:color w:val="auto"/>
              </w:rPr>
              <w:t>Report of</w:t>
            </w:r>
            <w:r w:rsidR="005C35A5" w:rsidRPr="00575235">
              <w:rPr>
                <w:rStyle w:val="Firstpagetablebold"/>
                <w:rFonts w:cs="Arial"/>
                <w:color w:val="auto"/>
              </w:rPr>
              <w:t>:</w:t>
            </w:r>
          </w:p>
        </w:tc>
        <w:tc>
          <w:tcPr>
            <w:tcW w:w="6406" w:type="dxa"/>
            <w:shd w:val="clear" w:color="auto" w:fill="auto"/>
          </w:tcPr>
          <w:p w:rsidR="00F445B1" w:rsidRPr="00575235" w:rsidRDefault="006D052F" w:rsidP="00C0652D">
            <w:pPr>
              <w:rPr>
                <w:rStyle w:val="Firstpagetablebold"/>
                <w:rFonts w:cs="Arial"/>
                <w:color w:val="auto"/>
              </w:rPr>
            </w:pPr>
            <w:r w:rsidRPr="00575235">
              <w:rPr>
                <w:rStyle w:val="Firstpagetablebold"/>
                <w:rFonts w:cs="Arial"/>
                <w:color w:val="auto"/>
              </w:rPr>
              <w:t>Jane Winfield</w:t>
            </w:r>
            <w:r w:rsidR="00C0652D" w:rsidRPr="00575235">
              <w:rPr>
                <w:rStyle w:val="Firstpagetablebold"/>
                <w:rFonts w:cs="Arial"/>
                <w:color w:val="auto"/>
              </w:rPr>
              <w:t xml:space="preserve">, Regeneration and major projects service manager </w:t>
            </w:r>
          </w:p>
        </w:tc>
      </w:tr>
      <w:tr w:rsidR="00C92729" w:rsidRPr="00575235" w:rsidTr="00737C85">
        <w:trPr>
          <w:gridAfter w:val="1"/>
          <w:wAfter w:w="370" w:type="dxa"/>
        </w:trPr>
        <w:tc>
          <w:tcPr>
            <w:tcW w:w="2438" w:type="dxa"/>
            <w:gridSpan w:val="4"/>
            <w:shd w:val="clear" w:color="auto" w:fill="auto"/>
          </w:tcPr>
          <w:p w:rsidR="00F445B1" w:rsidRPr="00575235" w:rsidRDefault="00F445B1" w:rsidP="004A6D2F">
            <w:pPr>
              <w:rPr>
                <w:rStyle w:val="Firstpagetablebold"/>
                <w:rFonts w:cs="Arial"/>
                <w:color w:val="auto"/>
              </w:rPr>
            </w:pPr>
            <w:r w:rsidRPr="00575235">
              <w:rPr>
                <w:rStyle w:val="Firstpagetablebold"/>
                <w:rFonts w:cs="Arial"/>
                <w:color w:val="auto"/>
              </w:rPr>
              <w:t xml:space="preserve">Title of Report: </w:t>
            </w:r>
          </w:p>
        </w:tc>
        <w:tc>
          <w:tcPr>
            <w:tcW w:w="6406" w:type="dxa"/>
            <w:shd w:val="clear" w:color="auto" w:fill="auto"/>
          </w:tcPr>
          <w:p w:rsidR="006D052F" w:rsidRPr="00575235" w:rsidRDefault="00C0652D" w:rsidP="00C0652D">
            <w:pPr>
              <w:spacing w:after="0"/>
              <w:rPr>
                <w:rStyle w:val="Firstpagetablebold"/>
                <w:rFonts w:cs="Arial"/>
                <w:color w:val="auto"/>
              </w:rPr>
            </w:pPr>
            <w:r w:rsidRPr="00575235">
              <w:rPr>
                <w:rStyle w:val="Firstpagetablebold"/>
                <w:rFonts w:cs="Arial"/>
                <w:color w:val="auto"/>
              </w:rPr>
              <w:t>Quarterly progress report rela</w:t>
            </w:r>
            <w:r w:rsidR="006D052F" w:rsidRPr="00575235">
              <w:rPr>
                <w:rStyle w:val="Firstpagetablebold"/>
                <w:rFonts w:cs="Arial"/>
                <w:color w:val="auto"/>
              </w:rPr>
              <w:t>ting to Barton Park development</w:t>
            </w:r>
          </w:p>
          <w:p w:rsidR="00737C85" w:rsidRPr="00575235" w:rsidRDefault="00C0652D" w:rsidP="00C0652D">
            <w:pPr>
              <w:spacing w:after="0"/>
              <w:rPr>
                <w:rStyle w:val="Firstpagetablebold"/>
                <w:rFonts w:cs="Arial"/>
                <w:color w:val="auto"/>
              </w:rPr>
            </w:pPr>
            <w:r w:rsidRPr="00575235">
              <w:rPr>
                <w:rStyle w:val="Firstpagetablebold"/>
                <w:rFonts w:cs="Arial"/>
                <w:color w:val="auto"/>
              </w:rPr>
              <w:t xml:space="preserve"> </w:t>
            </w:r>
          </w:p>
        </w:tc>
      </w:tr>
      <w:tr w:rsidR="00D5547E" w:rsidRPr="00575235" w:rsidTr="00737C8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42" w:type="dxa"/>
          <w:trHeight w:val="445"/>
        </w:trPr>
        <w:tc>
          <w:tcPr>
            <w:tcW w:w="9072" w:type="dxa"/>
            <w:gridSpan w:val="5"/>
            <w:tcBorders>
              <w:bottom w:val="single" w:sz="8" w:space="0" w:color="000000"/>
            </w:tcBorders>
            <w:hideMark/>
          </w:tcPr>
          <w:p w:rsidR="00CC68B0" w:rsidRPr="00575235" w:rsidRDefault="00745BF0" w:rsidP="00840B10">
            <w:pPr>
              <w:ind w:left="601"/>
              <w:jc w:val="center"/>
              <w:rPr>
                <w:rStyle w:val="Firstpagetablebold"/>
                <w:rFonts w:cs="Arial"/>
              </w:rPr>
            </w:pPr>
            <w:r w:rsidRPr="00575235">
              <w:rPr>
                <w:rStyle w:val="Firstpagetablebold"/>
                <w:rFonts w:cs="Arial"/>
              </w:rPr>
              <w:t>Summary and r</w:t>
            </w:r>
            <w:r w:rsidR="00D5547E" w:rsidRPr="00575235">
              <w:rPr>
                <w:rStyle w:val="Firstpagetablebold"/>
                <w:rFonts w:cs="Arial"/>
              </w:rPr>
              <w:t>ecommendations</w:t>
            </w:r>
          </w:p>
        </w:tc>
      </w:tr>
      <w:tr w:rsidR="00D5547E" w:rsidRPr="00575235" w:rsidTr="00A93DD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42" w:type="dxa"/>
          <w:trHeight w:val="892"/>
        </w:trPr>
        <w:tc>
          <w:tcPr>
            <w:tcW w:w="2029" w:type="dxa"/>
            <w:gridSpan w:val="2"/>
            <w:tcBorders>
              <w:top w:val="single" w:sz="8" w:space="0" w:color="000000"/>
              <w:left w:val="single" w:sz="8" w:space="0" w:color="000000"/>
              <w:bottom w:val="single" w:sz="4" w:space="0" w:color="auto"/>
              <w:right w:val="nil"/>
            </w:tcBorders>
            <w:hideMark/>
          </w:tcPr>
          <w:p w:rsidR="00D5547E" w:rsidRPr="00575235" w:rsidRDefault="00D5547E">
            <w:pPr>
              <w:rPr>
                <w:rStyle w:val="Firstpagetablebold"/>
                <w:rFonts w:cs="Arial"/>
              </w:rPr>
            </w:pPr>
            <w:r w:rsidRPr="00575235">
              <w:rPr>
                <w:rStyle w:val="Firstpagetablebold"/>
                <w:rFonts w:cs="Arial"/>
              </w:rPr>
              <w:t>Purpose of report:</w:t>
            </w:r>
          </w:p>
        </w:tc>
        <w:tc>
          <w:tcPr>
            <w:tcW w:w="7043" w:type="dxa"/>
            <w:gridSpan w:val="3"/>
            <w:tcBorders>
              <w:top w:val="single" w:sz="8" w:space="0" w:color="000000"/>
              <w:left w:val="nil"/>
              <w:bottom w:val="single" w:sz="4" w:space="0" w:color="auto"/>
              <w:right w:val="single" w:sz="8" w:space="0" w:color="000000"/>
            </w:tcBorders>
          </w:tcPr>
          <w:p w:rsidR="00591686" w:rsidRPr="00575235" w:rsidRDefault="00591686" w:rsidP="00AB5546">
            <w:pPr>
              <w:rPr>
                <w:rFonts w:cs="Arial"/>
              </w:rPr>
            </w:pPr>
            <w:r w:rsidRPr="00575235">
              <w:rPr>
                <w:rFonts w:cs="Arial"/>
              </w:rPr>
              <w:t>This report provides an update into the activities of Barton Oxford LLP</w:t>
            </w:r>
            <w:r w:rsidR="008733D6">
              <w:rPr>
                <w:rFonts w:cs="Arial"/>
              </w:rPr>
              <w:t xml:space="preserve"> (BOLLP)</w:t>
            </w:r>
            <w:r w:rsidRPr="00575235">
              <w:rPr>
                <w:rFonts w:cs="Arial"/>
              </w:rPr>
              <w:t xml:space="preserve"> over the quarter and progress of </w:t>
            </w:r>
            <w:r w:rsidR="002A2D09">
              <w:rPr>
                <w:rFonts w:cs="Arial"/>
              </w:rPr>
              <w:t>housing delivery at Barton Park</w:t>
            </w:r>
            <w:r w:rsidRPr="00575235">
              <w:rPr>
                <w:rFonts w:cs="Arial"/>
              </w:rPr>
              <w:t>.</w:t>
            </w:r>
          </w:p>
        </w:tc>
      </w:tr>
      <w:tr w:rsidR="005F7F7E" w:rsidRPr="00575235" w:rsidTr="00A93DD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42" w:type="dxa"/>
          <w:trHeight w:val="319"/>
        </w:trPr>
        <w:tc>
          <w:tcPr>
            <w:tcW w:w="9072" w:type="dxa"/>
            <w:gridSpan w:val="5"/>
            <w:tcBorders>
              <w:top w:val="single" w:sz="4" w:space="0" w:color="auto"/>
              <w:bottom w:val="nil"/>
            </w:tcBorders>
          </w:tcPr>
          <w:p w:rsidR="005F7F7E" w:rsidRPr="00575235" w:rsidRDefault="005F7F7E" w:rsidP="00E13656">
            <w:pPr>
              <w:rPr>
                <w:rFonts w:cs="Arial"/>
              </w:rPr>
            </w:pPr>
            <w:r w:rsidRPr="00575235">
              <w:rPr>
                <w:rStyle w:val="Firstpagetablebold"/>
                <w:rFonts w:cs="Arial"/>
              </w:rPr>
              <w:t>Recommendation(s):</w:t>
            </w:r>
            <w:r w:rsidR="00E13656" w:rsidRPr="00575235">
              <w:rPr>
                <w:rStyle w:val="Firstpagetablebold"/>
                <w:rFonts w:cs="Arial"/>
              </w:rPr>
              <w:t>There is a resolution to</w:t>
            </w:r>
            <w:r w:rsidRPr="00575235">
              <w:rPr>
                <w:rStyle w:val="Firstpagetablebold"/>
                <w:rFonts w:cs="Arial"/>
              </w:rPr>
              <w:t>:</w:t>
            </w:r>
          </w:p>
        </w:tc>
      </w:tr>
      <w:tr w:rsidR="0030208D" w:rsidRPr="00575235" w:rsidTr="00A93DD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42" w:type="dxa"/>
          <w:trHeight w:val="307"/>
        </w:trPr>
        <w:tc>
          <w:tcPr>
            <w:tcW w:w="709" w:type="dxa"/>
            <w:tcBorders>
              <w:top w:val="nil"/>
              <w:left w:val="single" w:sz="8" w:space="0" w:color="000000"/>
              <w:bottom w:val="single" w:sz="4" w:space="0" w:color="auto"/>
              <w:right w:val="nil"/>
            </w:tcBorders>
          </w:tcPr>
          <w:p w:rsidR="0030208D" w:rsidRPr="00F74C30" w:rsidRDefault="0030208D" w:rsidP="00F74C30">
            <w:pPr>
              <w:ind w:right="34"/>
              <w:rPr>
                <w:rFonts w:cs="Arial"/>
              </w:rPr>
            </w:pPr>
          </w:p>
        </w:tc>
        <w:tc>
          <w:tcPr>
            <w:tcW w:w="8363" w:type="dxa"/>
            <w:gridSpan w:val="4"/>
            <w:tcBorders>
              <w:top w:val="nil"/>
              <w:left w:val="nil"/>
              <w:bottom w:val="single" w:sz="4" w:space="0" w:color="auto"/>
              <w:right w:val="single" w:sz="8" w:space="0" w:color="000000"/>
            </w:tcBorders>
            <w:shd w:val="clear" w:color="auto" w:fill="auto"/>
          </w:tcPr>
          <w:p w:rsidR="00FB51BE" w:rsidRDefault="00E13656" w:rsidP="00A464C4">
            <w:pPr>
              <w:spacing w:after="0"/>
              <w:contextualSpacing/>
              <w:jc w:val="both"/>
              <w:rPr>
                <w:rFonts w:cs="Arial"/>
              </w:rPr>
            </w:pPr>
            <w:r w:rsidRPr="00575235">
              <w:rPr>
                <w:rFonts w:cs="Arial"/>
              </w:rPr>
              <w:t>Note the contents of the report</w:t>
            </w:r>
            <w:r w:rsidR="00FB51BE">
              <w:rPr>
                <w:rFonts w:cs="Arial"/>
              </w:rPr>
              <w:t xml:space="preserve"> and the not for publication commercial appendix</w:t>
            </w:r>
            <w:r w:rsidR="002A2D09">
              <w:rPr>
                <w:rFonts w:cs="Arial"/>
              </w:rPr>
              <w:t>.</w:t>
            </w:r>
            <w:r w:rsidRPr="00575235">
              <w:rPr>
                <w:rFonts w:cs="Arial"/>
              </w:rPr>
              <w:t xml:space="preserve"> </w:t>
            </w:r>
          </w:p>
          <w:p w:rsidR="00FB51BE" w:rsidRPr="00575235" w:rsidRDefault="00FB51BE" w:rsidP="00A464C4">
            <w:pPr>
              <w:spacing w:after="0"/>
              <w:contextualSpacing/>
              <w:jc w:val="both"/>
              <w:rPr>
                <w:rFonts w:cs="Arial"/>
              </w:rPr>
            </w:pPr>
          </w:p>
        </w:tc>
      </w:tr>
    </w:tbl>
    <w:p w:rsidR="00CE544A" w:rsidRPr="00575235" w:rsidRDefault="00CE544A" w:rsidP="004A6D2F">
      <w:pPr>
        <w:rPr>
          <w:rFonts w:cs="Arial"/>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6772"/>
      </w:tblGrid>
      <w:tr w:rsidR="00966D42" w:rsidRPr="00575235" w:rsidTr="00A93DDA">
        <w:trPr>
          <w:trHeight w:val="372"/>
        </w:trPr>
        <w:tc>
          <w:tcPr>
            <w:tcW w:w="9072"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575235" w:rsidRDefault="00966D42" w:rsidP="00263EA3">
            <w:pPr>
              <w:jc w:val="center"/>
              <w:rPr>
                <w:rFonts w:cs="Arial"/>
              </w:rPr>
            </w:pPr>
            <w:r w:rsidRPr="00575235">
              <w:rPr>
                <w:rStyle w:val="Firstpagetablebold"/>
                <w:rFonts w:cs="Arial"/>
              </w:rPr>
              <w:t>Appendices</w:t>
            </w:r>
          </w:p>
        </w:tc>
      </w:tr>
      <w:tr w:rsidR="00ED5860" w:rsidRPr="00575235" w:rsidTr="00A93DDA">
        <w:trPr>
          <w:trHeight w:val="372"/>
        </w:trPr>
        <w:tc>
          <w:tcPr>
            <w:tcW w:w="2300" w:type="dxa"/>
            <w:tcBorders>
              <w:top w:val="single" w:sz="8" w:space="0" w:color="000000"/>
              <w:left w:val="single" w:sz="8" w:space="0" w:color="000000"/>
              <w:bottom w:val="single" w:sz="4" w:space="0" w:color="auto"/>
              <w:right w:val="nil"/>
            </w:tcBorders>
            <w:shd w:val="clear" w:color="auto" w:fill="auto"/>
          </w:tcPr>
          <w:p w:rsidR="00ED5860" w:rsidRPr="00575235" w:rsidRDefault="00840B10" w:rsidP="00840B10">
            <w:pPr>
              <w:rPr>
                <w:rFonts w:cs="Arial"/>
                <w:color w:val="auto"/>
              </w:rPr>
            </w:pPr>
            <w:r w:rsidRPr="00575235">
              <w:rPr>
                <w:rFonts w:cs="Arial"/>
                <w:color w:val="auto"/>
              </w:rPr>
              <w:t>Appendix 1</w:t>
            </w:r>
          </w:p>
        </w:tc>
        <w:tc>
          <w:tcPr>
            <w:tcW w:w="6772" w:type="dxa"/>
            <w:tcBorders>
              <w:top w:val="single" w:sz="8" w:space="0" w:color="000000"/>
              <w:left w:val="nil"/>
              <w:bottom w:val="single" w:sz="4" w:space="0" w:color="auto"/>
              <w:right w:val="single" w:sz="8" w:space="0" w:color="000000"/>
            </w:tcBorders>
          </w:tcPr>
          <w:p w:rsidR="00ED5860" w:rsidRPr="00575235" w:rsidRDefault="00A464C4" w:rsidP="00405CF0">
            <w:pPr>
              <w:rPr>
                <w:rFonts w:cs="Arial"/>
                <w:color w:val="auto"/>
              </w:rPr>
            </w:pPr>
            <w:r w:rsidRPr="00575235">
              <w:rPr>
                <w:rFonts w:cs="Arial"/>
                <w:color w:val="auto"/>
              </w:rPr>
              <w:t xml:space="preserve">Not for publication </w:t>
            </w:r>
            <w:r w:rsidR="00405CF0">
              <w:rPr>
                <w:rFonts w:cs="Arial"/>
                <w:color w:val="auto"/>
              </w:rPr>
              <w:t xml:space="preserve">commercial </w:t>
            </w:r>
            <w:r w:rsidRPr="00575235">
              <w:rPr>
                <w:rFonts w:cs="Arial"/>
                <w:color w:val="auto"/>
              </w:rPr>
              <w:t>sales and marketing</w:t>
            </w:r>
            <w:r w:rsidR="00405CF0">
              <w:rPr>
                <w:rFonts w:cs="Arial"/>
                <w:color w:val="auto"/>
              </w:rPr>
              <w:t xml:space="preserve"> information</w:t>
            </w:r>
            <w:r w:rsidR="002A2D09">
              <w:rPr>
                <w:rFonts w:cs="Arial"/>
                <w:color w:val="auto"/>
              </w:rPr>
              <w:t>.</w:t>
            </w:r>
            <w:r w:rsidRPr="00575235">
              <w:rPr>
                <w:rFonts w:cs="Arial"/>
                <w:color w:val="auto"/>
              </w:rPr>
              <w:t xml:space="preserve"> </w:t>
            </w:r>
          </w:p>
        </w:tc>
      </w:tr>
    </w:tbl>
    <w:p w:rsidR="00FB7F38" w:rsidRDefault="00FB7F38" w:rsidP="00FB7F38">
      <w:pPr>
        <w:spacing w:after="0"/>
        <w:ind w:right="-448"/>
        <w:rPr>
          <w:rFonts w:eastAsiaTheme="minorHAnsi" w:cs="Arial"/>
          <w:color w:val="auto"/>
          <w:lang w:eastAsia="en-US"/>
        </w:rPr>
      </w:pPr>
    </w:p>
    <w:p w:rsidR="00A93DDA" w:rsidRPr="00575235" w:rsidRDefault="00A93DDA" w:rsidP="00FB7F38">
      <w:pPr>
        <w:spacing w:after="0"/>
        <w:ind w:right="-448"/>
        <w:rPr>
          <w:rFonts w:eastAsiaTheme="minorHAnsi" w:cs="Arial"/>
          <w:color w:val="auto"/>
          <w:lang w:eastAsia="en-US"/>
        </w:rPr>
      </w:pPr>
    </w:p>
    <w:p w:rsidR="00FB7F38" w:rsidRPr="00575235" w:rsidRDefault="00FB7F38" w:rsidP="00A93DDA">
      <w:pPr>
        <w:ind w:right="-448"/>
        <w:rPr>
          <w:rFonts w:eastAsiaTheme="minorHAnsi" w:cs="Arial"/>
          <w:b/>
          <w:color w:val="auto"/>
          <w:lang w:eastAsia="en-US"/>
        </w:rPr>
      </w:pPr>
      <w:r w:rsidRPr="00575235">
        <w:rPr>
          <w:rFonts w:eastAsiaTheme="minorHAnsi" w:cs="Arial"/>
          <w:b/>
          <w:color w:val="auto"/>
          <w:lang w:eastAsia="en-US"/>
        </w:rPr>
        <w:t xml:space="preserve">Introduction and </w:t>
      </w:r>
      <w:r w:rsidR="008B593E" w:rsidRPr="00575235">
        <w:rPr>
          <w:rFonts w:eastAsiaTheme="minorHAnsi" w:cs="Arial"/>
          <w:b/>
          <w:color w:val="auto"/>
          <w:lang w:eastAsia="en-US"/>
        </w:rPr>
        <w:t>b</w:t>
      </w:r>
      <w:r w:rsidRPr="00575235">
        <w:rPr>
          <w:rFonts w:eastAsiaTheme="minorHAnsi" w:cs="Arial"/>
          <w:b/>
          <w:color w:val="auto"/>
          <w:lang w:eastAsia="en-US"/>
        </w:rPr>
        <w:t>ackground</w:t>
      </w:r>
    </w:p>
    <w:p w:rsidR="00EA1336" w:rsidRPr="00D07EAF" w:rsidRDefault="006D052F" w:rsidP="00D07EAF">
      <w:pPr>
        <w:pStyle w:val="ListParagraph"/>
        <w:rPr>
          <w:rFonts w:eastAsiaTheme="minorHAnsi"/>
          <w:color w:val="auto"/>
          <w:lang w:eastAsia="en-US"/>
        </w:rPr>
      </w:pPr>
      <w:r w:rsidRPr="00575235">
        <w:t xml:space="preserve">Cabinet </w:t>
      </w:r>
      <w:r w:rsidR="00EA1336" w:rsidRPr="00575235">
        <w:t>resolved</w:t>
      </w:r>
      <w:r w:rsidRPr="00575235">
        <w:t xml:space="preserve"> </w:t>
      </w:r>
      <w:r w:rsidR="00EA1336" w:rsidRPr="00575235">
        <w:t>on 10</w:t>
      </w:r>
      <w:r w:rsidR="00361C76">
        <w:t xml:space="preserve"> </w:t>
      </w:r>
      <w:r w:rsidR="00EA1336" w:rsidRPr="00575235">
        <w:t xml:space="preserve">July 2019 to require quarterly reports to the Council’s Shareholder </w:t>
      </w:r>
      <w:r w:rsidR="00A93DDA">
        <w:t>and Joint Venture Group</w:t>
      </w:r>
      <w:r w:rsidR="00A93DDA" w:rsidRPr="00575235">
        <w:t xml:space="preserve"> </w:t>
      </w:r>
      <w:r w:rsidR="00EA1336" w:rsidRPr="00575235">
        <w:t>on the overall progress of the Barton Park development.  It further resolved that th</w:t>
      </w:r>
      <w:r w:rsidR="00A93DDA">
        <w:t>os</w:t>
      </w:r>
      <w:r w:rsidR="00EA1336" w:rsidRPr="00575235">
        <w:t xml:space="preserve">e </w:t>
      </w:r>
      <w:r w:rsidR="00A93DDA">
        <w:t xml:space="preserve">quarterly </w:t>
      </w:r>
      <w:r w:rsidR="00EA1336" w:rsidRPr="00575235">
        <w:t>report</w:t>
      </w:r>
      <w:r w:rsidR="00A93DDA">
        <w:t>s</w:t>
      </w:r>
      <w:r w:rsidR="00EA1336" w:rsidRPr="00575235">
        <w:t xml:space="preserve"> should include information on overall delivery of housing, with particular reference to social rented homes and the financial </w:t>
      </w:r>
      <w:r w:rsidR="00EA1336" w:rsidRPr="00D07EAF">
        <w:t>performance</w:t>
      </w:r>
      <w:r w:rsidR="00EA1336" w:rsidRPr="00575235">
        <w:t xml:space="preserve"> of the project in general. This is the first such report to the Shareholder</w:t>
      </w:r>
      <w:r w:rsidR="00A93DDA">
        <w:t xml:space="preserve"> and Joint Venture Group</w:t>
      </w:r>
      <w:r w:rsidRPr="00575235">
        <w:t>.</w:t>
      </w:r>
    </w:p>
    <w:p w:rsidR="0057130A" w:rsidRPr="00D07EAF" w:rsidRDefault="0057130A" w:rsidP="00D07EAF">
      <w:pPr>
        <w:pStyle w:val="ListParagraph"/>
        <w:rPr>
          <w:rFonts w:eastAsiaTheme="minorHAnsi"/>
          <w:color w:val="auto"/>
          <w:lang w:eastAsia="en-US"/>
        </w:rPr>
      </w:pPr>
      <w:r w:rsidRPr="00575235">
        <w:t>It was furth</w:t>
      </w:r>
      <w:r w:rsidR="006D052F" w:rsidRPr="00575235">
        <w:t>er agreed that the Shareholder m</w:t>
      </w:r>
      <w:r w:rsidRPr="00575235">
        <w:t xml:space="preserve">eeting would have an expanded remit to receive reports from </w:t>
      </w:r>
      <w:r w:rsidRPr="00D07EAF">
        <w:t>companies</w:t>
      </w:r>
      <w:r w:rsidRPr="00575235">
        <w:t xml:space="preserve"> and joint ventures which do not have shareholders, (such as Barton Oxford LLP)</w:t>
      </w:r>
      <w:r w:rsidR="006D052F" w:rsidRPr="00575235">
        <w:t>.</w:t>
      </w:r>
    </w:p>
    <w:p w:rsidR="006D052F" w:rsidRPr="00575235" w:rsidRDefault="0057130A" w:rsidP="00D07EAF">
      <w:pPr>
        <w:pStyle w:val="Heading1"/>
        <w:rPr>
          <w:rFonts w:eastAsiaTheme="minorHAnsi"/>
          <w:lang w:eastAsia="en-US"/>
        </w:rPr>
      </w:pPr>
      <w:r w:rsidRPr="00575235">
        <w:rPr>
          <w:rFonts w:eastAsiaTheme="minorHAnsi"/>
          <w:lang w:eastAsia="en-US"/>
        </w:rPr>
        <w:t xml:space="preserve">Progress Update </w:t>
      </w:r>
    </w:p>
    <w:p w:rsidR="0057130A" w:rsidRPr="00575235" w:rsidRDefault="006D052F" w:rsidP="00D07EAF">
      <w:pPr>
        <w:pStyle w:val="Heading1"/>
        <w:rPr>
          <w:rFonts w:eastAsiaTheme="minorHAnsi"/>
          <w:lang w:eastAsia="en-US"/>
        </w:rPr>
      </w:pPr>
      <w:r w:rsidRPr="00575235">
        <w:rPr>
          <w:rFonts w:eastAsiaTheme="minorHAnsi"/>
          <w:lang w:eastAsia="en-US"/>
        </w:rPr>
        <w:t>Infrastructure</w:t>
      </w:r>
    </w:p>
    <w:p w:rsidR="00FC269F" w:rsidRPr="00D07EAF" w:rsidRDefault="0057130A" w:rsidP="00D07EAF">
      <w:pPr>
        <w:pStyle w:val="ListParagraph"/>
        <w:rPr>
          <w:rFonts w:eastAsiaTheme="minorHAnsi"/>
          <w:lang w:eastAsia="en-US"/>
        </w:rPr>
      </w:pPr>
      <w:r w:rsidRPr="00575235">
        <w:rPr>
          <w:rFonts w:eastAsiaTheme="minorHAnsi"/>
          <w:lang w:eastAsia="en-US"/>
        </w:rPr>
        <w:t>Whilst the inf</w:t>
      </w:r>
      <w:r w:rsidR="006D052F" w:rsidRPr="00575235">
        <w:rPr>
          <w:rFonts w:eastAsiaTheme="minorHAnsi"/>
          <w:lang w:eastAsia="en-US"/>
        </w:rPr>
        <w:t>rastructure works are completed</w:t>
      </w:r>
      <w:r w:rsidRPr="00575235">
        <w:rPr>
          <w:rFonts w:eastAsiaTheme="minorHAnsi"/>
          <w:lang w:eastAsia="en-US"/>
        </w:rPr>
        <w:t>, practical compl</w:t>
      </w:r>
      <w:r w:rsidR="006D052F" w:rsidRPr="00575235">
        <w:rPr>
          <w:rFonts w:eastAsiaTheme="minorHAnsi"/>
          <w:lang w:eastAsia="en-US"/>
        </w:rPr>
        <w:t>etion has not yet been achieved</w:t>
      </w:r>
      <w:r w:rsidR="003C5012" w:rsidRPr="00575235">
        <w:rPr>
          <w:rFonts w:eastAsiaTheme="minorHAnsi"/>
          <w:lang w:eastAsia="en-US"/>
        </w:rPr>
        <w:t xml:space="preserve">. </w:t>
      </w:r>
      <w:r w:rsidR="006D052F" w:rsidRPr="00575235">
        <w:rPr>
          <w:rFonts w:eastAsiaTheme="minorHAnsi"/>
          <w:lang w:eastAsia="en-US"/>
        </w:rPr>
        <w:t xml:space="preserve">Since </w:t>
      </w:r>
      <w:r w:rsidR="006D052F" w:rsidRPr="00D07EAF">
        <w:rPr>
          <w:rFonts w:eastAsiaTheme="minorHAnsi"/>
        </w:rPr>
        <w:t>the</w:t>
      </w:r>
      <w:r w:rsidR="006D052F" w:rsidRPr="00575235">
        <w:rPr>
          <w:rFonts w:eastAsiaTheme="minorHAnsi"/>
          <w:lang w:eastAsia="en-US"/>
        </w:rPr>
        <w:t xml:space="preserve"> last report</w:t>
      </w:r>
      <w:r w:rsidR="00FC269F" w:rsidRPr="00575235">
        <w:rPr>
          <w:rFonts w:eastAsiaTheme="minorHAnsi"/>
          <w:lang w:eastAsia="en-US"/>
        </w:rPr>
        <w:t xml:space="preserve">, </w:t>
      </w:r>
      <w:r w:rsidR="003C5012" w:rsidRPr="00575235">
        <w:rPr>
          <w:rFonts w:eastAsiaTheme="minorHAnsi"/>
          <w:lang w:eastAsia="en-US"/>
        </w:rPr>
        <w:t>Thames Water</w:t>
      </w:r>
      <w:r w:rsidR="00FC269F" w:rsidRPr="00575235">
        <w:rPr>
          <w:rFonts w:eastAsiaTheme="minorHAnsi"/>
          <w:lang w:eastAsia="en-US"/>
        </w:rPr>
        <w:t xml:space="preserve"> has signed off </w:t>
      </w:r>
      <w:r w:rsidR="003C5012" w:rsidRPr="00575235">
        <w:rPr>
          <w:rFonts w:eastAsiaTheme="minorHAnsi"/>
          <w:lang w:eastAsia="en-US"/>
        </w:rPr>
        <w:t xml:space="preserve">the drainage remedial works and the review of the Health and Safety file for the infrastructure </w:t>
      </w:r>
      <w:r w:rsidR="003C5012" w:rsidRPr="00575235">
        <w:rPr>
          <w:rFonts w:eastAsiaTheme="minorHAnsi"/>
          <w:lang w:eastAsia="en-US"/>
        </w:rPr>
        <w:lastRenderedPageBreak/>
        <w:t>works</w:t>
      </w:r>
      <w:r w:rsidR="006D052F" w:rsidRPr="00575235">
        <w:rPr>
          <w:rFonts w:eastAsiaTheme="minorHAnsi"/>
          <w:lang w:eastAsia="en-US"/>
        </w:rPr>
        <w:t xml:space="preserve"> is completed</w:t>
      </w:r>
      <w:r w:rsidR="003C5012" w:rsidRPr="00575235">
        <w:rPr>
          <w:rFonts w:eastAsiaTheme="minorHAnsi"/>
          <w:lang w:eastAsia="en-US"/>
        </w:rPr>
        <w:t xml:space="preserve">. </w:t>
      </w:r>
      <w:r w:rsidR="00FC269F" w:rsidRPr="00575235">
        <w:rPr>
          <w:rFonts w:eastAsiaTheme="minorHAnsi"/>
          <w:lang w:eastAsia="en-US"/>
        </w:rPr>
        <w:t>There have been a couple of issues of damage to the road infrastructure around the A40 junction and these will need to be repaired before</w:t>
      </w:r>
      <w:r w:rsidR="006D052F" w:rsidRPr="00575235">
        <w:rPr>
          <w:rFonts w:eastAsiaTheme="minorHAnsi"/>
          <w:lang w:eastAsia="en-US"/>
        </w:rPr>
        <w:t xml:space="preserve"> practical completion is agreed</w:t>
      </w:r>
      <w:r w:rsidR="00FC269F" w:rsidRPr="00575235">
        <w:rPr>
          <w:rFonts w:eastAsiaTheme="minorHAnsi"/>
          <w:lang w:eastAsia="en-US"/>
        </w:rPr>
        <w:t>.</w:t>
      </w:r>
      <w:r w:rsidR="006D052F" w:rsidRPr="00575235">
        <w:rPr>
          <w:rFonts w:eastAsiaTheme="minorHAnsi"/>
          <w:lang w:eastAsia="en-US"/>
        </w:rPr>
        <w:t xml:space="preserve"> </w:t>
      </w:r>
      <w:r w:rsidR="00FC269F" w:rsidRPr="00575235">
        <w:rPr>
          <w:rFonts w:eastAsiaTheme="minorHAnsi"/>
          <w:lang w:eastAsia="en-US"/>
        </w:rPr>
        <w:t>The requisite materials have been ordered and works are li</w:t>
      </w:r>
      <w:r w:rsidR="006D052F" w:rsidRPr="00575235">
        <w:rPr>
          <w:rFonts w:eastAsiaTheme="minorHAnsi"/>
          <w:lang w:eastAsia="en-US"/>
        </w:rPr>
        <w:t>kely to take place in September</w:t>
      </w:r>
      <w:r w:rsidR="00FC269F" w:rsidRPr="00575235">
        <w:rPr>
          <w:rFonts w:eastAsiaTheme="minorHAnsi"/>
          <w:lang w:eastAsia="en-US"/>
        </w:rPr>
        <w:t>.</w:t>
      </w:r>
    </w:p>
    <w:p w:rsidR="00FC269F" w:rsidRPr="00575235" w:rsidRDefault="00FC269F" w:rsidP="00D07EAF">
      <w:pPr>
        <w:pStyle w:val="Heading1"/>
        <w:rPr>
          <w:rFonts w:eastAsiaTheme="minorHAnsi"/>
          <w:lang w:eastAsia="en-US"/>
        </w:rPr>
      </w:pPr>
      <w:r w:rsidRPr="00575235">
        <w:rPr>
          <w:rFonts w:eastAsiaTheme="minorHAnsi"/>
          <w:lang w:eastAsia="en-US"/>
        </w:rPr>
        <w:t xml:space="preserve">First </w:t>
      </w:r>
      <w:r w:rsidR="00FB51BE">
        <w:rPr>
          <w:rFonts w:eastAsiaTheme="minorHAnsi"/>
          <w:lang w:eastAsia="en-US"/>
        </w:rPr>
        <w:t>Tranche</w:t>
      </w:r>
      <w:r w:rsidRPr="00575235">
        <w:rPr>
          <w:rFonts w:eastAsiaTheme="minorHAnsi"/>
          <w:lang w:eastAsia="en-US"/>
        </w:rPr>
        <w:t xml:space="preserve"> </w:t>
      </w:r>
      <w:proofErr w:type="gramStart"/>
      <w:r w:rsidR="00FB51BE">
        <w:rPr>
          <w:rFonts w:eastAsiaTheme="minorHAnsi"/>
          <w:lang w:eastAsia="en-US"/>
        </w:rPr>
        <w:t xml:space="preserve">( </w:t>
      </w:r>
      <w:r w:rsidR="00F74C30">
        <w:rPr>
          <w:rFonts w:eastAsiaTheme="minorHAnsi"/>
          <w:lang w:eastAsia="en-US"/>
        </w:rPr>
        <w:t>H</w:t>
      </w:r>
      <w:r w:rsidR="00FB51BE">
        <w:rPr>
          <w:rFonts w:eastAsiaTheme="minorHAnsi"/>
          <w:lang w:eastAsia="en-US"/>
        </w:rPr>
        <w:t>ill</w:t>
      </w:r>
      <w:proofErr w:type="gramEnd"/>
      <w:r w:rsidR="008733D6">
        <w:rPr>
          <w:rFonts w:eastAsiaTheme="minorHAnsi"/>
          <w:lang w:eastAsia="en-US"/>
        </w:rPr>
        <w:t xml:space="preserve"> - </w:t>
      </w:r>
      <w:r w:rsidR="00FB51BE">
        <w:rPr>
          <w:rFonts w:eastAsiaTheme="minorHAnsi"/>
          <w:lang w:eastAsia="en-US"/>
        </w:rPr>
        <w:t xml:space="preserve"> </w:t>
      </w:r>
      <w:r w:rsidR="004566CB">
        <w:rPr>
          <w:rFonts w:eastAsiaTheme="minorHAnsi"/>
          <w:lang w:eastAsia="en-US"/>
        </w:rPr>
        <w:t xml:space="preserve">237 units </w:t>
      </w:r>
      <w:r w:rsidR="00FB51BE">
        <w:rPr>
          <w:rFonts w:eastAsiaTheme="minorHAnsi"/>
          <w:lang w:eastAsia="en-US"/>
        </w:rPr>
        <w:t>)</w:t>
      </w:r>
    </w:p>
    <w:p w:rsidR="00E946D6" w:rsidRPr="00E946D6" w:rsidRDefault="00F537FC" w:rsidP="00D07EAF">
      <w:pPr>
        <w:pStyle w:val="ListParagraph"/>
      </w:pPr>
      <w:r>
        <w:rPr>
          <w:rFonts w:eastAsiaTheme="minorHAnsi"/>
          <w:lang w:eastAsia="en-US"/>
        </w:rPr>
        <w:t>In July it was reported</w:t>
      </w:r>
      <w:r w:rsidR="00FB51BE">
        <w:rPr>
          <w:rFonts w:eastAsiaTheme="minorHAnsi"/>
          <w:lang w:eastAsia="en-US"/>
        </w:rPr>
        <w:t xml:space="preserve"> to Cabinet,</w:t>
      </w:r>
      <w:r>
        <w:rPr>
          <w:rFonts w:eastAsiaTheme="minorHAnsi"/>
          <w:lang w:eastAsia="en-US"/>
        </w:rPr>
        <w:t xml:space="preserve"> that 35 of the 95 units had been handed over.</w:t>
      </w:r>
      <w:r w:rsidR="00A93DDA">
        <w:rPr>
          <w:rFonts w:eastAsiaTheme="minorHAnsi"/>
          <w:lang w:eastAsia="en-US"/>
        </w:rPr>
        <w:t xml:space="preserve"> </w:t>
      </w:r>
      <w:r w:rsidR="00FC269F" w:rsidRPr="00361C76">
        <w:rPr>
          <w:rFonts w:eastAsiaTheme="minorHAnsi"/>
          <w:lang w:eastAsia="en-US"/>
        </w:rPr>
        <w:t xml:space="preserve">Since the last report </w:t>
      </w:r>
      <w:r w:rsidR="00E17C83" w:rsidRPr="00361C76">
        <w:rPr>
          <w:rFonts w:eastAsiaTheme="minorHAnsi"/>
          <w:lang w:eastAsia="en-US"/>
        </w:rPr>
        <w:t>no furt</w:t>
      </w:r>
      <w:r w:rsidR="00575235" w:rsidRPr="00361C76">
        <w:rPr>
          <w:rFonts w:eastAsiaTheme="minorHAnsi"/>
          <w:lang w:eastAsia="en-US"/>
        </w:rPr>
        <w:t>her homes have been handed over</w:t>
      </w:r>
      <w:r w:rsidR="00E17C83" w:rsidRPr="00361C76">
        <w:rPr>
          <w:rFonts w:eastAsiaTheme="minorHAnsi"/>
          <w:lang w:eastAsia="en-US"/>
        </w:rPr>
        <w:t xml:space="preserve">, 12 units </w:t>
      </w:r>
      <w:r w:rsidR="00575235" w:rsidRPr="00361C76">
        <w:rPr>
          <w:rFonts w:eastAsiaTheme="minorHAnsi"/>
          <w:lang w:eastAsia="en-US"/>
        </w:rPr>
        <w:t>were scheduled for transfer in June</w:t>
      </w:r>
      <w:r w:rsidR="001C3084">
        <w:rPr>
          <w:rFonts w:eastAsiaTheme="minorHAnsi"/>
          <w:lang w:eastAsia="en-US"/>
        </w:rPr>
        <w:t xml:space="preserve"> </w:t>
      </w:r>
      <w:r w:rsidR="00575235" w:rsidRPr="00361C76">
        <w:rPr>
          <w:rFonts w:eastAsiaTheme="minorHAnsi"/>
          <w:lang w:eastAsia="en-US"/>
        </w:rPr>
        <w:t>/</w:t>
      </w:r>
      <w:r w:rsidR="001C3084">
        <w:rPr>
          <w:rFonts w:eastAsiaTheme="minorHAnsi"/>
          <w:lang w:eastAsia="en-US"/>
        </w:rPr>
        <w:t xml:space="preserve"> </w:t>
      </w:r>
      <w:r w:rsidR="00575235" w:rsidRPr="00361C76">
        <w:rPr>
          <w:rFonts w:eastAsiaTheme="minorHAnsi"/>
          <w:lang w:eastAsia="en-US"/>
        </w:rPr>
        <w:t>J</w:t>
      </w:r>
      <w:r w:rsidR="00E17C83" w:rsidRPr="00361C76">
        <w:rPr>
          <w:rFonts w:eastAsiaTheme="minorHAnsi"/>
          <w:lang w:eastAsia="en-US"/>
        </w:rPr>
        <w:t>uly and these have</w:t>
      </w:r>
      <w:r w:rsidR="00645BA8">
        <w:rPr>
          <w:rFonts w:eastAsiaTheme="minorHAnsi"/>
          <w:lang w:eastAsia="en-US"/>
        </w:rPr>
        <w:t xml:space="preserve"> all</w:t>
      </w:r>
      <w:r w:rsidR="00575235" w:rsidRPr="00361C76">
        <w:rPr>
          <w:rFonts w:eastAsiaTheme="minorHAnsi"/>
          <w:lang w:eastAsia="en-US"/>
        </w:rPr>
        <w:t xml:space="preserve"> been rescheduled for </w:t>
      </w:r>
      <w:r w:rsidR="00575235" w:rsidRPr="00D07EAF">
        <w:rPr>
          <w:rFonts w:eastAsiaTheme="minorHAnsi"/>
        </w:rPr>
        <w:t>September</w:t>
      </w:r>
      <w:r w:rsidR="00E17C83" w:rsidRPr="00361C76">
        <w:rPr>
          <w:rFonts w:eastAsiaTheme="minorHAnsi"/>
          <w:lang w:eastAsia="en-US"/>
        </w:rPr>
        <w:t>.</w:t>
      </w:r>
      <w:r w:rsidR="00575235" w:rsidRPr="00361C76">
        <w:rPr>
          <w:rFonts w:eastAsiaTheme="minorHAnsi"/>
          <w:lang w:eastAsia="en-US"/>
        </w:rPr>
        <w:t xml:space="preserve"> </w:t>
      </w:r>
      <w:r w:rsidR="00F972F7" w:rsidRPr="00361C76">
        <w:rPr>
          <w:rFonts w:eastAsiaTheme="minorHAnsi"/>
          <w:lang w:eastAsia="en-US"/>
        </w:rPr>
        <w:t>There</w:t>
      </w:r>
      <w:r w:rsidR="00FB51BE">
        <w:rPr>
          <w:rFonts w:eastAsiaTheme="minorHAnsi"/>
          <w:lang w:eastAsia="en-US"/>
        </w:rPr>
        <w:t xml:space="preserve"> have been a number of issues identified </w:t>
      </w:r>
      <w:r w:rsidR="00FB51BE" w:rsidRPr="00361C76">
        <w:t>at the completion inspection</w:t>
      </w:r>
      <w:r w:rsidR="00FB51BE">
        <w:t>s</w:t>
      </w:r>
      <w:r w:rsidR="00361C76">
        <w:rPr>
          <w:rFonts w:eastAsiaTheme="minorHAnsi"/>
          <w:lang w:eastAsia="en-US"/>
        </w:rPr>
        <w:t xml:space="preserve">, for example </w:t>
      </w:r>
      <w:r w:rsidR="002A2D09" w:rsidRPr="00361C76">
        <w:rPr>
          <w:rFonts w:eastAsiaTheme="minorHAnsi"/>
          <w:lang w:eastAsia="en-US"/>
        </w:rPr>
        <w:t xml:space="preserve">in block </w:t>
      </w:r>
      <w:r w:rsidR="00505EA4" w:rsidRPr="00361C76">
        <w:rPr>
          <w:rFonts w:eastAsiaTheme="minorHAnsi"/>
          <w:lang w:eastAsia="en-US"/>
        </w:rPr>
        <w:t>D2</w:t>
      </w:r>
      <w:r w:rsidR="00EA1336" w:rsidRPr="00361C76">
        <w:rPr>
          <w:rFonts w:eastAsiaTheme="minorHAnsi"/>
          <w:lang w:eastAsia="en-US"/>
        </w:rPr>
        <w:t>, the lift was</w:t>
      </w:r>
      <w:r w:rsidR="00575235" w:rsidRPr="00361C76">
        <w:rPr>
          <w:rFonts w:eastAsiaTheme="minorHAnsi"/>
          <w:lang w:eastAsia="en-US"/>
        </w:rPr>
        <w:t xml:space="preserve"> </w:t>
      </w:r>
      <w:r w:rsidR="00F972F7" w:rsidRPr="00361C76">
        <w:t>not working</w:t>
      </w:r>
      <w:r w:rsidR="00575235" w:rsidRPr="00361C76">
        <w:t>. The r</w:t>
      </w:r>
      <w:r w:rsidR="00F972F7" w:rsidRPr="00361C76">
        <w:t xml:space="preserve">eplacement hydraulic pump </w:t>
      </w:r>
      <w:r w:rsidR="00EA1336" w:rsidRPr="00361C76">
        <w:t>is c</w:t>
      </w:r>
      <w:r w:rsidR="00575235" w:rsidRPr="00361C76">
        <w:t>oming from Italy and is delayed</w:t>
      </w:r>
      <w:r w:rsidR="00EA1336" w:rsidRPr="00361C76">
        <w:t>.</w:t>
      </w:r>
      <w:r w:rsidR="00F972F7" w:rsidRPr="00361C76">
        <w:t xml:space="preserve"> Once the part is delivered in late September the lift will be commissioned and the block available for handover</w:t>
      </w:r>
      <w:r w:rsidR="00EA1336" w:rsidRPr="00361C76">
        <w:rPr>
          <w:rFonts w:eastAsiaTheme="minorHAnsi"/>
          <w:b/>
          <w:lang w:eastAsia="en-US"/>
        </w:rPr>
        <w:t xml:space="preserve">. </w:t>
      </w:r>
      <w:r w:rsidR="00554C9B" w:rsidRPr="00554C9B">
        <w:rPr>
          <w:rFonts w:eastAsiaTheme="minorHAnsi"/>
          <w:lang w:eastAsia="en-US"/>
        </w:rPr>
        <w:t>In addition, Hill have reported a shortage of labour during the summer months</w:t>
      </w:r>
      <w:r w:rsidR="007C6F19">
        <w:rPr>
          <w:rFonts w:eastAsiaTheme="minorHAnsi"/>
          <w:lang w:eastAsia="en-US"/>
        </w:rPr>
        <w:t xml:space="preserve"> </w:t>
      </w:r>
      <w:r w:rsidR="00554C9B" w:rsidRPr="00554C9B">
        <w:rPr>
          <w:rFonts w:eastAsiaTheme="minorHAnsi"/>
          <w:lang w:eastAsia="en-US"/>
        </w:rPr>
        <w:t>.</w:t>
      </w:r>
      <w:r w:rsidR="00E946D6">
        <w:rPr>
          <w:rFonts w:eastAsiaTheme="minorHAnsi"/>
          <w:lang w:eastAsia="en-US"/>
        </w:rPr>
        <w:t>A further 7 units are on track for handover at the end of  October and up to 2</w:t>
      </w:r>
      <w:r w:rsidR="0073257B">
        <w:rPr>
          <w:rFonts w:eastAsiaTheme="minorHAnsi"/>
          <w:lang w:eastAsia="en-US"/>
        </w:rPr>
        <w:t>2</w:t>
      </w:r>
      <w:r w:rsidR="00E946D6">
        <w:rPr>
          <w:rFonts w:eastAsiaTheme="minorHAnsi"/>
          <w:lang w:eastAsia="en-US"/>
        </w:rPr>
        <w:t xml:space="preserve"> by financial year end ( March 2020) .</w:t>
      </w:r>
    </w:p>
    <w:p w:rsidR="00554C9B" w:rsidRPr="00361C76" w:rsidRDefault="00AF62B4" w:rsidP="00D07EAF">
      <w:pPr>
        <w:pStyle w:val="ListParagraph"/>
      </w:pPr>
      <w:r>
        <w:rPr>
          <w:rFonts w:eastAsiaTheme="minorHAnsi"/>
          <w:lang w:eastAsia="en-US"/>
        </w:rPr>
        <w:t xml:space="preserve"> </w:t>
      </w:r>
      <w:r w:rsidR="00645BA8" w:rsidRPr="00AF62B4">
        <w:rPr>
          <w:rFonts w:eastAsiaTheme="minorHAnsi"/>
          <w:lang w:eastAsia="en-US"/>
        </w:rPr>
        <w:t xml:space="preserve">Overall, 115 </w:t>
      </w:r>
      <w:r w:rsidR="00645BA8" w:rsidRPr="00D07EAF">
        <w:rPr>
          <w:rFonts w:eastAsiaTheme="minorHAnsi"/>
        </w:rPr>
        <w:t>units</w:t>
      </w:r>
      <w:r w:rsidR="00645BA8" w:rsidRPr="00AF62B4">
        <w:rPr>
          <w:rFonts w:eastAsiaTheme="minorHAnsi"/>
          <w:lang w:eastAsia="en-US"/>
        </w:rPr>
        <w:t xml:space="preserve"> have been completed with a further 80 under construction</w:t>
      </w:r>
      <w:r w:rsidR="007C6F19">
        <w:rPr>
          <w:rFonts w:eastAsiaTheme="minorHAnsi"/>
          <w:lang w:eastAsia="en-US"/>
        </w:rPr>
        <w:t xml:space="preserve"> </w:t>
      </w:r>
      <w:r w:rsidR="00645BA8" w:rsidRPr="00AF62B4">
        <w:rPr>
          <w:rFonts w:eastAsiaTheme="minorHAnsi"/>
          <w:lang w:eastAsia="en-US"/>
        </w:rPr>
        <w:t>.</w:t>
      </w:r>
      <w:r w:rsidR="008733D6">
        <w:rPr>
          <w:rFonts w:eastAsiaTheme="minorHAnsi"/>
          <w:lang w:eastAsia="en-US"/>
        </w:rPr>
        <w:t xml:space="preserve">It is understood </w:t>
      </w:r>
      <w:r w:rsidR="00646C1F">
        <w:rPr>
          <w:rFonts w:eastAsiaTheme="minorHAnsi"/>
          <w:lang w:eastAsia="en-US"/>
        </w:rPr>
        <w:t>that sales on 60 units have completed.</w:t>
      </w:r>
    </w:p>
    <w:p w:rsidR="00361C76" w:rsidRDefault="00361C76" w:rsidP="00405CF0">
      <w:pPr>
        <w:spacing w:after="0"/>
        <w:ind w:left="426" w:right="-58" w:hanging="426"/>
        <w:jc w:val="both"/>
        <w:rPr>
          <w:rFonts w:eastAsiaTheme="minorHAnsi" w:cs="Arial"/>
          <w:b/>
          <w:color w:val="auto"/>
          <w:lang w:eastAsia="en-US"/>
        </w:rPr>
      </w:pPr>
    </w:p>
    <w:p w:rsidR="00EA1336" w:rsidRPr="00361C76" w:rsidRDefault="00EA1336" w:rsidP="00D07EAF">
      <w:pPr>
        <w:pStyle w:val="Heading1"/>
        <w:rPr>
          <w:rFonts w:eastAsiaTheme="minorHAnsi"/>
          <w:lang w:eastAsia="en-US"/>
        </w:rPr>
      </w:pPr>
      <w:r w:rsidRPr="00361C76">
        <w:rPr>
          <w:rFonts w:eastAsiaTheme="minorHAnsi"/>
          <w:lang w:eastAsia="en-US"/>
        </w:rPr>
        <w:t xml:space="preserve">Second </w:t>
      </w:r>
      <w:r w:rsidR="00DF1666">
        <w:rPr>
          <w:rFonts w:eastAsiaTheme="minorHAnsi"/>
          <w:lang w:eastAsia="en-US"/>
        </w:rPr>
        <w:t>Tranche</w:t>
      </w:r>
      <w:r w:rsidR="008733D6">
        <w:rPr>
          <w:rFonts w:eastAsiaTheme="minorHAnsi"/>
          <w:lang w:eastAsia="en-US"/>
        </w:rPr>
        <w:t xml:space="preserve"> </w:t>
      </w:r>
      <w:proofErr w:type="gramStart"/>
      <w:r w:rsidR="008733D6">
        <w:rPr>
          <w:rFonts w:eastAsiaTheme="minorHAnsi"/>
          <w:lang w:eastAsia="en-US"/>
        </w:rPr>
        <w:t xml:space="preserve">( </w:t>
      </w:r>
      <w:proofErr w:type="spellStart"/>
      <w:r w:rsidR="008733D6">
        <w:rPr>
          <w:rFonts w:eastAsiaTheme="minorHAnsi"/>
          <w:lang w:eastAsia="en-US"/>
        </w:rPr>
        <w:t>Redrow</w:t>
      </w:r>
      <w:proofErr w:type="spellEnd"/>
      <w:proofErr w:type="gramEnd"/>
      <w:r w:rsidR="008733D6">
        <w:rPr>
          <w:rFonts w:eastAsiaTheme="minorHAnsi"/>
          <w:lang w:eastAsia="en-US"/>
        </w:rPr>
        <w:t xml:space="preserve"> – 207 units )</w:t>
      </w:r>
    </w:p>
    <w:p w:rsidR="00BA453E" w:rsidRPr="00D07EAF" w:rsidRDefault="00BA453E" w:rsidP="00D07EAF">
      <w:pPr>
        <w:pStyle w:val="ListParagraph"/>
        <w:rPr>
          <w:rFonts w:eastAsiaTheme="minorHAnsi"/>
          <w:lang w:eastAsia="en-US"/>
        </w:rPr>
      </w:pPr>
      <w:r w:rsidRPr="00575235">
        <w:rPr>
          <w:rFonts w:eastAsiaTheme="minorHAnsi"/>
          <w:lang w:eastAsia="en-US"/>
        </w:rPr>
        <w:t xml:space="preserve">The decision notice approving </w:t>
      </w:r>
      <w:proofErr w:type="spellStart"/>
      <w:r w:rsidRPr="00575235">
        <w:rPr>
          <w:rFonts w:eastAsiaTheme="minorHAnsi"/>
          <w:lang w:eastAsia="en-US"/>
        </w:rPr>
        <w:t>Redrow’s</w:t>
      </w:r>
      <w:proofErr w:type="spellEnd"/>
      <w:r w:rsidRPr="00575235">
        <w:rPr>
          <w:rFonts w:eastAsiaTheme="minorHAnsi"/>
          <w:lang w:eastAsia="en-US"/>
        </w:rPr>
        <w:t xml:space="preserve"> planning consent was issued on </w:t>
      </w:r>
      <w:r w:rsidR="00575235">
        <w:rPr>
          <w:rFonts w:eastAsiaTheme="minorHAnsi"/>
          <w:lang w:eastAsia="en-US"/>
        </w:rPr>
        <w:t>16</w:t>
      </w:r>
      <w:r w:rsidR="007367F6" w:rsidRPr="007367F6">
        <w:rPr>
          <w:rFonts w:eastAsiaTheme="minorHAnsi"/>
          <w:vertAlign w:val="superscript"/>
          <w:lang w:eastAsia="en-US"/>
        </w:rPr>
        <w:t>th</w:t>
      </w:r>
      <w:r w:rsidR="00575235">
        <w:rPr>
          <w:rFonts w:eastAsiaTheme="minorHAnsi"/>
          <w:lang w:eastAsia="en-US"/>
        </w:rPr>
        <w:t xml:space="preserve"> August. </w:t>
      </w:r>
      <w:proofErr w:type="spellStart"/>
      <w:r w:rsidR="00575235">
        <w:rPr>
          <w:rFonts w:eastAsiaTheme="minorHAnsi"/>
          <w:lang w:eastAsia="en-US"/>
        </w:rPr>
        <w:t>Redrow</w:t>
      </w:r>
      <w:proofErr w:type="spellEnd"/>
      <w:r w:rsidR="00575235">
        <w:rPr>
          <w:rFonts w:eastAsiaTheme="minorHAnsi"/>
          <w:lang w:eastAsia="en-US"/>
        </w:rPr>
        <w:t xml:space="preserve"> are on site ahead of programme and anticipate </w:t>
      </w:r>
      <w:r w:rsidR="00361C76">
        <w:rPr>
          <w:rFonts w:eastAsiaTheme="minorHAnsi"/>
          <w:lang w:eastAsia="en-US"/>
        </w:rPr>
        <w:t>first completions in mid-</w:t>
      </w:r>
      <w:r w:rsidR="00575235">
        <w:rPr>
          <w:rFonts w:eastAsiaTheme="minorHAnsi"/>
          <w:lang w:eastAsia="en-US"/>
        </w:rPr>
        <w:t>2020</w:t>
      </w:r>
      <w:r w:rsidRPr="00575235">
        <w:rPr>
          <w:rFonts w:eastAsiaTheme="minorHAnsi"/>
          <w:lang w:eastAsia="en-US"/>
        </w:rPr>
        <w:t xml:space="preserve">. </w:t>
      </w:r>
      <w:proofErr w:type="spellStart"/>
      <w:r w:rsidRPr="00575235">
        <w:rPr>
          <w:rFonts w:eastAsiaTheme="minorHAnsi"/>
          <w:lang w:eastAsia="en-US"/>
        </w:rPr>
        <w:t>Redrow</w:t>
      </w:r>
      <w:proofErr w:type="spellEnd"/>
      <w:r w:rsidRPr="00575235">
        <w:rPr>
          <w:rFonts w:eastAsiaTheme="minorHAnsi"/>
          <w:lang w:eastAsia="en-US"/>
        </w:rPr>
        <w:t xml:space="preserve"> continue to discuss the</w:t>
      </w:r>
      <w:r w:rsidR="00E34794">
        <w:rPr>
          <w:rFonts w:eastAsiaTheme="minorHAnsi"/>
          <w:lang w:eastAsia="en-US"/>
        </w:rPr>
        <w:t xml:space="preserve"> programme of handover for the </w:t>
      </w:r>
      <w:r w:rsidRPr="00575235">
        <w:rPr>
          <w:rFonts w:eastAsiaTheme="minorHAnsi"/>
          <w:lang w:eastAsia="en-US"/>
        </w:rPr>
        <w:t xml:space="preserve">social rental element with Oxford </w:t>
      </w:r>
      <w:r w:rsidR="00575235">
        <w:rPr>
          <w:rFonts w:eastAsiaTheme="minorHAnsi"/>
          <w:lang w:eastAsia="en-US"/>
        </w:rPr>
        <w:t xml:space="preserve">City </w:t>
      </w:r>
      <w:proofErr w:type="gramStart"/>
      <w:r w:rsidR="00575235">
        <w:rPr>
          <w:rFonts w:eastAsiaTheme="minorHAnsi"/>
          <w:lang w:eastAsia="en-US"/>
        </w:rPr>
        <w:t>Housing  representatives</w:t>
      </w:r>
      <w:proofErr w:type="gramEnd"/>
      <w:r w:rsidRPr="00575235">
        <w:rPr>
          <w:rFonts w:eastAsiaTheme="minorHAnsi"/>
          <w:lang w:eastAsia="en-US"/>
        </w:rPr>
        <w:t xml:space="preserve">.  </w:t>
      </w:r>
      <w:r w:rsidR="005C7E85" w:rsidRPr="00575235">
        <w:rPr>
          <w:rFonts w:eastAsiaTheme="minorHAnsi"/>
          <w:lang w:eastAsia="en-US"/>
        </w:rPr>
        <w:t>A website has been set up and the public has the o</w:t>
      </w:r>
      <w:r w:rsidR="00575235">
        <w:rPr>
          <w:rFonts w:eastAsiaTheme="minorHAnsi"/>
          <w:lang w:eastAsia="en-US"/>
        </w:rPr>
        <w:t>pportunity to register interest</w:t>
      </w:r>
      <w:r w:rsidR="00E34794">
        <w:rPr>
          <w:rFonts w:eastAsiaTheme="minorHAnsi"/>
          <w:lang w:eastAsia="en-US"/>
        </w:rPr>
        <w:t>.</w:t>
      </w:r>
      <w:r w:rsidR="00A93DDA">
        <w:rPr>
          <w:rFonts w:eastAsiaTheme="minorHAnsi"/>
          <w:lang w:eastAsia="en-US"/>
        </w:rPr>
        <w:t xml:space="preserve"> </w:t>
      </w:r>
      <w:proofErr w:type="spellStart"/>
      <w:r w:rsidR="00E34794" w:rsidRPr="00E34794">
        <w:rPr>
          <w:rFonts w:eastAsiaTheme="minorHAnsi"/>
          <w:lang w:eastAsia="en-US"/>
        </w:rPr>
        <w:t>R</w:t>
      </w:r>
      <w:r w:rsidR="00645BA8" w:rsidRPr="00E34794">
        <w:rPr>
          <w:rFonts w:eastAsiaTheme="minorHAnsi"/>
          <w:lang w:eastAsia="en-US"/>
        </w:rPr>
        <w:t>edrow</w:t>
      </w:r>
      <w:proofErr w:type="spellEnd"/>
      <w:r w:rsidR="00645BA8" w:rsidRPr="00E34794">
        <w:rPr>
          <w:rFonts w:eastAsiaTheme="minorHAnsi"/>
          <w:lang w:eastAsia="en-US"/>
        </w:rPr>
        <w:t xml:space="preserve"> expect the first 20 units to be complete in June 2020, of which 12 will be social rent.</w:t>
      </w:r>
    </w:p>
    <w:p w:rsidR="00BA453E" w:rsidRPr="00575235" w:rsidRDefault="00BA453E" w:rsidP="00D07EAF">
      <w:pPr>
        <w:pStyle w:val="Heading1"/>
        <w:rPr>
          <w:rFonts w:eastAsiaTheme="minorHAnsi"/>
          <w:lang w:eastAsia="en-US"/>
        </w:rPr>
      </w:pPr>
      <w:r w:rsidRPr="00575235">
        <w:rPr>
          <w:rFonts w:eastAsiaTheme="minorHAnsi"/>
          <w:lang w:eastAsia="en-US"/>
        </w:rPr>
        <w:t xml:space="preserve">Future Phases </w:t>
      </w:r>
    </w:p>
    <w:p w:rsidR="00BA453E" w:rsidRPr="00D07EAF" w:rsidRDefault="00E34794" w:rsidP="00D07EAF">
      <w:pPr>
        <w:pStyle w:val="ListParagraph"/>
        <w:rPr>
          <w:rFonts w:eastAsiaTheme="minorHAnsi"/>
          <w:lang w:eastAsia="en-US"/>
        </w:rPr>
      </w:pPr>
      <w:r>
        <w:rPr>
          <w:rFonts w:eastAsiaTheme="minorHAnsi"/>
          <w:lang w:eastAsia="en-US"/>
        </w:rPr>
        <w:t>Delivery of f</w:t>
      </w:r>
      <w:r w:rsidR="00BA453E" w:rsidRPr="00575235">
        <w:rPr>
          <w:rFonts w:eastAsiaTheme="minorHAnsi"/>
          <w:lang w:eastAsia="en-US"/>
        </w:rPr>
        <w:t>urther</w:t>
      </w:r>
      <w:r>
        <w:rPr>
          <w:rFonts w:eastAsiaTheme="minorHAnsi"/>
          <w:lang w:eastAsia="en-US"/>
        </w:rPr>
        <w:t xml:space="preserve"> </w:t>
      </w:r>
      <w:r w:rsidR="008733D6">
        <w:rPr>
          <w:rFonts w:eastAsiaTheme="minorHAnsi"/>
          <w:lang w:eastAsia="en-US"/>
        </w:rPr>
        <w:t>tranches</w:t>
      </w:r>
      <w:r>
        <w:rPr>
          <w:rFonts w:eastAsiaTheme="minorHAnsi"/>
          <w:lang w:eastAsia="en-US"/>
        </w:rPr>
        <w:t xml:space="preserve"> involves sales and marketing of land parcels</w:t>
      </w:r>
      <w:r w:rsidR="008733D6">
        <w:rPr>
          <w:rFonts w:eastAsiaTheme="minorHAnsi"/>
          <w:lang w:eastAsia="en-US"/>
        </w:rPr>
        <w:t xml:space="preserve"> </w:t>
      </w:r>
      <w:r>
        <w:rPr>
          <w:rFonts w:eastAsiaTheme="minorHAnsi"/>
          <w:lang w:eastAsia="en-US"/>
        </w:rPr>
        <w:t xml:space="preserve">, the information is commercially </w:t>
      </w:r>
      <w:r w:rsidRPr="00D07EAF">
        <w:rPr>
          <w:rFonts w:eastAsiaTheme="minorHAnsi"/>
        </w:rPr>
        <w:t>sensitive</w:t>
      </w:r>
      <w:r>
        <w:rPr>
          <w:rFonts w:eastAsiaTheme="minorHAnsi"/>
          <w:lang w:eastAsia="en-US"/>
        </w:rPr>
        <w:t xml:space="preserve"> and further details </w:t>
      </w:r>
      <w:r w:rsidR="00BA453E" w:rsidRPr="00575235">
        <w:rPr>
          <w:rFonts w:eastAsiaTheme="minorHAnsi"/>
          <w:lang w:eastAsia="en-US"/>
        </w:rPr>
        <w:t>are contained in t</w:t>
      </w:r>
      <w:r w:rsidR="007367F6">
        <w:rPr>
          <w:rFonts w:eastAsiaTheme="minorHAnsi"/>
          <w:lang w:eastAsia="en-US"/>
        </w:rPr>
        <w:t>he not for publication appendix</w:t>
      </w:r>
      <w:r w:rsidR="00BA453E" w:rsidRPr="00575235">
        <w:rPr>
          <w:rFonts w:eastAsiaTheme="minorHAnsi"/>
          <w:lang w:eastAsia="en-US"/>
        </w:rPr>
        <w:t>.</w:t>
      </w:r>
    </w:p>
    <w:p w:rsidR="00BA453E" w:rsidRPr="00575235" w:rsidRDefault="00575235" w:rsidP="00D07EAF">
      <w:pPr>
        <w:pStyle w:val="Heading1"/>
        <w:rPr>
          <w:rFonts w:eastAsiaTheme="minorHAnsi"/>
          <w:lang w:eastAsia="en-US"/>
        </w:rPr>
      </w:pPr>
      <w:r w:rsidRPr="00575235">
        <w:rPr>
          <w:rFonts w:eastAsiaTheme="minorHAnsi"/>
          <w:lang w:eastAsia="en-US"/>
        </w:rPr>
        <w:t>Community Facilities</w:t>
      </w:r>
    </w:p>
    <w:p w:rsidR="00575235" w:rsidRPr="00D07EAF" w:rsidRDefault="00A93DDA" w:rsidP="00D07EAF">
      <w:pPr>
        <w:pStyle w:val="ListParagraph"/>
        <w:rPr>
          <w:rFonts w:eastAsiaTheme="minorHAnsi"/>
          <w:lang w:eastAsia="en-US"/>
        </w:rPr>
      </w:pPr>
      <w:r>
        <w:rPr>
          <w:rFonts w:eastAsiaTheme="minorHAnsi"/>
          <w:lang w:eastAsia="en-US"/>
        </w:rPr>
        <w:t>Oxfordshire</w:t>
      </w:r>
      <w:r w:rsidRPr="00575235">
        <w:rPr>
          <w:rFonts w:eastAsiaTheme="minorHAnsi"/>
          <w:lang w:eastAsia="en-US"/>
        </w:rPr>
        <w:t xml:space="preserve"> </w:t>
      </w:r>
      <w:r w:rsidR="00BA453E" w:rsidRPr="00575235">
        <w:rPr>
          <w:rFonts w:eastAsiaTheme="minorHAnsi"/>
          <w:lang w:eastAsia="en-US"/>
        </w:rPr>
        <w:t xml:space="preserve">County Council </w:t>
      </w:r>
      <w:r w:rsidR="00405CF0" w:rsidRPr="00575235">
        <w:rPr>
          <w:rFonts w:eastAsiaTheme="minorHAnsi"/>
          <w:lang w:eastAsia="en-US"/>
        </w:rPr>
        <w:t>ha</w:t>
      </w:r>
      <w:r w:rsidR="00405CF0">
        <w:rPr>
          <w:rFonts w:eastAsiaTheme="minorHAnsi"/>
          <w:lang w:eastAsia="en-US"/>
        </w:rPr>
        <w:t>s</w:t>
      </w:r>
      <w:r w:rsidR="00405CF0" w:rsidRPr="00575235">
        <w:rPr>
          <w:rFonts w:eastAsiaTheme="minorHAnsi"/>
          <w:lang w:eastAsia="en-US"/>
        </w:rPr>
        <w:t xml:space="preserve"> </w:t>
      </w:r>
      <w:r w:rsidR="00BA453E" w:rsidRPr="00575235">
        <w:rPr>
          <w:rFonts w:eastAsiaTheme="minorHAnsi"/>
          <w:lang w:eastAsia="en-US"/>
        </w:rPr>
        <w:t xml:space="preserve">gained planning consent for the school </w:t>
      </w:r>
      <w:r w:rsidR="001761CB" w:rsidRPr="00575235">
        <w:rPr>
          <w:rFonts w:eastAsiaTheme="minorHAnsi"/>
          <w:lang w:eastAsia="en-US"/>
        </w:rPr>
        <w:t xml:space="preserve">and </w:t>
      </w:r>
      <w:proofErr w:type="gramStart"/>
      <w:r w:rsidR="001761CB" w:rsidRPr="00575235">
        <w:rPr>
          <w:rFonts w:eastAsiaTheme="minorHAnsi"/>
          <w:lang w:eastAsia="en-US"/>
        </w:rPr>
        <w:t>have</w:t>
      </w:r>
      <w:proofErr w:type="gramEnd"/>
      <w:r w:rsidR="001761CB" w:rsidRPr="00575235">
        <w:rPr>
          <w:rFonts w:eastAsiaTheme="minorHAnsi"/>
          <w:lang w:eastAsia="en-US"/>
        </w:rPr>
        <w:t xml:space="preserve"> contracted with </w:t>
      </w:r>
      <w:proofErr w:type="spellStart"/>
      <w:r w:rsidR="001761CB" w:rsidRPr="00575235">
        <w:rPr>
          <w:rFonts w:eastAsiaTheme="minorHAnsi"/>
          <w:lang w:eastAsia="en-US"/>
        </w:rPr>
        <w:t>Bowmer</w:t>
      </w:r>
      <w:proofErr w:type="spellEnd"/>
      <w:r w:rsidR="001761CB" w:rsidRPr="00575235">
        <w:rPr>
          <w:rFonts w:eastAsiaTheme="minorHAnsi"/>
          <w:lang w:eastAsia="en-US"/>
        </w:rPr>
        <w:t xml:space="preserve"> an</w:t>
      </w:r>
      <w:r w:rsidR="007367F6">
        <w:rPr>
          <w:rFonts w:eastAsiaTheme="minorHAnsi"/>
          <w:lang w:eastAsia="en-US"/>
        </w:rPr>
        <w:t xml:space="preserve">d </w:t>
      </w:r>
      <w:r w:rsidR="007367F6" w:rsidRPr="00D07EAF">
        <w:rPr>
          <w:rFonts w:eastAsiaTheme="minorHAnsi"/>
        </w:rPr>
        <w:t>Kirkland</w:t>
      </w:r>
      <w:r w:rsidR="007367F6">
        <w:rPr>
          <w:rFonts w:eastAsiaTheme="minorHAnsi"/>
          <w:lang w:eastAsia="en-US"/>
        </w:rPr>
        <w:t xml:space="preserve"> for the construction</w:t>
      </w:r>
      <w:r w:rsidR="001761CB" w:rsidRPr="00575235">
        <w:rPr>
          <w:rFonts w:eastAsiaTheme="minorHAnsi"/>
          <w:lang w:eastAsia="en-US"/>
        </w:rPr>
        <w:t>. There is a planned 46 week delivery programme with a sche</w:t>
      </w:r>
      <w:r w:rsidR="007367F6">
        <w:rPr>
          <w:rFonts w:eastAsiaTheme="minorHAnsi"/>
          <w:lang w:eastAsia="en-US"/>
        </w:rPr>
        <w:t>duled start on site of 2 September 2019</w:t>
      </w:r>
      <w:r w:rsidR="001761CB" w:rsidRPr="00575235">
        <w:rPr>
          <w:rFonts w:eastAsiaTheme="minorHAnsi"/>
          <w:lang w:eastAsia="en-US"/>
        </w:rPr>
        <w:t xml:space="preserve">. Handover of the completed building is planned for </w:t>
      </w:r>
      <w:r w:rsidR="007367F6">
        <w:rPr>
          <w:rFonts w:eastAsiaTheme="minorHAnsi"/>
          <w:lang w:eastAsia="en-US"/>
        </w:rPr>
        <w:t>20 July 2020</w:t>
      </w:r>
      <w:r w:rsidR="002A2D09">
        <w:rPr>
          <w:rFonts w:eastAsiaTheme="minorHAnsi"/>
          <w:lang w:eastAsia="en-US"/>
        </w:rPr>
        <w:t xml:space="preserve"> ahead of opening in September</w:t>
      </w:r>
      <w:r w:rsidR="001761CB" w:rsidRPr="00575235">
        <w:rPr>
          <w:rFonts w:eastAsiaTheme="minorHAnsi"/>
          <w:lang w:eastAsia="en-US"/>
        </w:rPr>
        <w:t xml:space="preserve">. BOLLP will be liaising closely with </w:t>
      </w:r>
      <w:proofErr w:type="spellStart"/>
      <w:r w:rsidR="001761CB" w:rsidRPr="00575235">
        <w:rPr>
          <w:rFonts w:eastAsiaTheme="minorHAnsi"/>
          <w:lang w:eastAsia="en-US"/>
        </w:rPr>
        <w:t>Bowmer</w:t>
      </w:r>
      <w:proofErr w:type="spellEnd"/>
      <w:r w:rsidR="001761CB" w:rsidRPr="00575235">
        <w:rPr>
          <w:rFonts w:eastAsiaTheme="minorHAnsi"/>
          <w:lang w:eastAsia="en-US"/>
        </w:rPr>
        <w:t xml:space="preserve"> and Kirkland and </w:t>
      </w:r>
      <w:proofErr w:type="spellStart"/>
      <w:r w:rsidR="001761CB" w:rsidRPr="00575235">
        <w:rPr>
          <w:rFonts w:eastAsiaTheme="minorHAnsi"/>
          <w:lang w:eastAsia="en-US"/>
        </w:rPr>
        <w:t>Redrow</w:t>
      </w:r>
      <w:proofErr w:type="spellEnd"/>
      <w:r w:rsidR="001761CB" w:rsidRPr="00575235">
        <w:rPr>
          <w:rFonts w:eastAsiaTheme="minorHAnsi"/>
          <w:lang w:eastAsia="en-US"/>
        </w:rPr>
        <w:t xml:space="preserve"> as the first phase of </w:t>
      </w:r>
      <w:proofErr w:type="spellStart"/>
      <w:r w:rsidR="001761CB" w:rsidRPr="00575235">
        <w:rPr>
          <w:rFonts w:eastAsiaTheme="minorHAnsi"/>
          <w:lang w:eastAsia="en-US"/>
        </w:rPr>
        <w:t>Redrow’s</w:t>
      </w:r>
      <w:proofErr w:type="spellEnd"/>
      <w:r w:rsidR="001761CB" w:rsidRPr="00575235">
        <w:rPr>
          <w:rFonts w:eastAsiaTheme="minorHAnsi"/>
          <w:lang w:eastAsia="en-US"/>
        </w:rPr>
        <w:t xml:space="preserve"> construction </w:t>
      </w:r>
      <w:r w:rsidR="00575235" w:rsidRPr="00575235">
        <w:rPr>
          <w:rFonts w:eastAsiaTheme="minorHAnsi"/>
          <w:lang w:eastAsia="en-US"/>
        </w:rPr>
        <w:t>is adjacent to the school site.</w:t>
      </w:r>
    </w:p>
    <w:p w:rsidR="001761CB" w:rsidRPr="00D07EAF" w:rsidRDefault="001761CB" w:rsidP="00D07EAF">
      <w:pPr>
        <w:pStyle w:val="ListParagraph"/>
        <w:rPr>
          <w:rFonts w:eastAsiaTheme="minorHAnsi"/>
          <w:lang w:eastAsia="en-US"/>
        </w:rPr>
      </w:pPr>
      <w:r w:rsidRPr="00575235">
        <w:rPr>
          <w:rFonts w:eastAsiaTheme="minorHAnsi"/>
          <w:lang w:eastAsia="en-US"/>
        </w:rPr>
        <w:t xml:space="preserve">The lease between BOLLP and </w:t>
      </w:r>
      <w:r w:rsidR="00445C7E">
        <w:rPr>
          <w:rFonts w:eastAsiaTheme="minorHAnsi"/>
          <w:lang w:eastAsia="en-US"/>
        </w:rPr>
        <w:t xml:space="preserve">Oxfordshire </w:t>
      </w:r>
      <w:r w:rsidRPr="00575235">
        <w:rPr>
          <w:rFonts w:eastAsiaTheme="minorHAnsi"/>
          <w:lang w:eastAsia="en-US"/>
        </w:rPr>
        <w:t xml:space="preserve">County </w:t>
      </w:r>
      <w:r w:rsidR="00445C7E">
        <w:rPr>
          <w:rFonts w:eastAsiaTheme="minorHAnsi"/>
          <w:lang w:eastAsia="en-US"/>
        </w:rPr>
        <w:t xml:space="preserve">Council </w:t>
      </w:r>
      <w:r w:rsidRPr="00575235">
        <w:rPr>
          <w:rFonts w:eastAsiaTheme="minorHAnsi"/>
          <w:lang w:eastAsia="en-US"/>
        </w:rPr>
        <w:t>for the</w:t>
      </w:r>
      <w:r w:rsidR="007367F6">
        <w:rPr>
          <w:rFonts w:eastAsiaTheme="minorHAnsi"/>
          <w:lang w:eastAsia="en-US"/>
        </w:rPr>
        <w:t xml:space="preserve"> school site has been completed</w:t>
      </w:r>
      <w:r w:rsidRPr="00575235">
        <w:rPr>
          <w:rFonts w:eastAsiaTheme="minorHAnsi"/>
          <w:lang w:eastAsia="en-US"/>
        </w:rPr>
        <w:t>.</w:t>
      </w:r>
    </w:p>
    <w:p w:rsidR="001761CB" w:rsidRPr="00575235" w:rsidRDefault="001761CB" w:rsidP="00D07EAF">
      <w:pPr>
        <w:pStyle w:val="ListParagraph"/>
        <w:rPr>
          <w:rFonts w:eastAsiaTheme="minorHAnsi"/>
          <w:lang w:eastAsia="en-US"/>
        </w:rPr>
      </w:pPr>
      <w:r w:rsidRPr="00575235">
        <w:rPr>
          <w:rFonts w:eastAsiaTheme="minorHAnsi"/>
          <w:lang w:eastAsia="en-US"/>
        </w:rPr>
        <w:t xml:space="preserve">There will be further negotiations with </w:t>
      </w:r>
      <w:r w:rsidR="00445C7E">
        <w:rPr>
          <w:rFonts w:eastAsiaTheme="minorHAnsi"/>
          <w:lang w:eastAsia="en-US"/>
        </w:rPr>
        <w:t xml:space="preserve">Oxfordshire </w:t>
      </w:r>
      <w:r w:rsidR="00445C7E" w:rsidRPr="00575235">
        <w:rPr>
          <w:rFonts w:eastAsiaTheme="minorHAnsi"/>
          <w:lang w:eastAsia="en-US"/>
        </w:rPr>
        <w:t xml:space="preserve">County </w:t>
      </w:r>
      <w:proofErr w:type="gramStart"/>
      <w:r w:rsidR="00445C7E">
        <w:rPr>
          <w:rFonts w:eastAsiaTheme="minorHAnsi"/>
          <w:lang w:eastAsia="en-US"/>
        </w:rPr>
        <w:t xml:space="preserve">Council </w:t>
      </w:r>
      <w:r w:rsidRPr="00575235">
        <w:rPr>
          <w:rFonts w:eastAsiaTheme="minorHAnsi"/>
          <w:lang w:eastAsia="en-US"/>
        </w:rPr>
        <w:t xml:space="preserve"> around</w:t>
      </w:r>
      <w:proofErr w:type="gramEnd"/>
      <w:r w:rsidRPr="00575235">
        <w:rPr>
          <w:rFonts w:eastAsiaTheme="minorHAnsi"/>
          <w:lang w:eastAsia="en-US"/>
        </w:rPr>
        <w:t xml:space="preserve"> any abnormal construction costs which might be sought from</w:t>
      </w:r>
      <w:r w:rsidR="007367F6">
        <w:rPr>
          <w:rFonts w:eastAsiaTheme="minorHAnsi"/>
          <w:lang w:eastAsia="en-US"/>
        </w:rPr>
        <w:t xml:space="preserve"> BOLLP</w:t>
      </w:r>
      <w:r w:rsidRPr="00575235">
        <w:rPr>
          <w:rFonts w:eastAsiaTheme="minorHAnsi"/>
          <w:lang w:eastAsia="en-US"/>
        </w:rPr>
        <w:t>.</w:t>
      </w:r>
    </w:p>
    <w:p w:rsidR="001761CB" w:rsidRPr="00575235" w:rsidRDefault="001761CB" w:rsidP="00405CF0">
      <w:pPr>
        <w:spacing w:after="0"/>
        <w:rPr>
          <w:rFonts w:eastAsiaTheme="minorHAnsi" w:cs="Arial"/>
          <w:color w:val="auto"/>
          <w:lang w:eastAsia="en-US"/>
        </w:rPr>
      </w:pPr>
    </w:p>
    <w:p w:rsidR="00361C76" w:rsidRPr="00D07EAF" w:rsidRDefault="001761CB" w:rsidP="00D07EAF">
      <w:pPr>
        <w:pStyle w:val="ListParagraph"/>
        <w:rPr>
          <w:rFonts w:eastAsiaTheme="minorHAnsi"/>
        </w:rPr>
      </w:pPr>
      <w:r w:rsidRPr="00575235">
        <w:rPr>
          <w:rFonts w:eastAsiaTheme="minorHAnsi"/>
          <w:lang w:eastAsia="en-US"/>
        </w:rPr>
        <w:lastRenderedPageBreak/>
        <w:t>The lease</w:t>
      </w:r>
      <w:r w:rsidRPr="00D07EAF">
        <w:rPr>
          <w:rFonts w:eastAsiaTheme="minorHAnsi"/>
        </w:rPr>
        <w:t xml:space="preserve"> between </w:t>
      </w:r>
      <w:r w:rsidR="007367F6" w:rsidRPr="00D07EAF">
        <w:rPr>
          <w:rFonts w:eastAsiaTheme="minorHAnsi"/>
        </w:rPr>
        <w:t xml:space="preserve">the City Council and BOLLP and </w:t>
      </w:r>
      <w:r w:rsidRPr="00D07EAF">
        <w:rPr>
          <w:rFonts w:eastAsiaTheme="minorHAnsi"/>
        </w:rPr>
        <w:t>the</w:t>
      </w:r>
      <w:r w:rsidR="007367F6" w:rsidRPr="00D07EAF">
        <w:rPr>
          <w:rFonts w:eastAsiaTheme="minorHAnsi"/>
        </w:rPr>
        <w:t xml:space="preserve"> sublease from the City Council </w:t>
      </w:r>
      <w:r w:rsidRPr="00D07EAF">
        <w:rPr>
          <w:rFonts w:eastAsiaTheme="minorHAnsi"/>
        </w:rPr>
        <w:t xml:space="preserve">to the football clubs are close to being agreed </w:t>
      </w:r>
      <w:r w:rsidR="005268C5" w:rsidRPr="00D07EAF">
        <w:rPr>
          <w:rFonts w:eastAsiaTheme="minorHAnsi"/>
        </w:rPr>
        <w:t>and will be complet</w:t>
      </w:r>
      <w:r w:rsidR="007367F6" w:rsidRPr="00D07EAF">
        <w:rPr>
          <w:rFonts w:eastAsiaTheme="minorHAnsi"/>
        </w:rPr>
        <w:t>ed in the next reporting period.</w:t>
      </w:r>
    </w:p>
    <w:p w:rsidR="005268C5" w:rsidRPr="00D07EAF" w:rsidRDefault="005268C5" w:rsidP="00D07EAF">
      <w:pPr>
        <w:pStyle w:val="ListParagraph"/>
        <w:rPr>
          <w:rFonts w:eastAsiaTheme="minorHAnsi"/>
        </w:rPr>
      </w:pPr>
      <w:r w:rsidRPr="00D07EAF">
        <w:rPr>
          <w:rFonts w:eastAsiaTheme="minorHAnsi"/>
        </w:rPr>
        <w:t xml:space="preserve">Whilst </w:t>
      </w:r>
      <w:r w:rsidR="008733D6" w:rsidRPr="00D07EAF">
        <w:rPr>
          <w:rFonts w:eastAsiaTheme="minorHAnsi"/>
        </w:rPr>
        <w:t xml:space="preserve">practical completion </w:t>
      </w:r>
      <w:r w:rsidRPr="00D07EAF">
        <w:rPr>
          <w:rFonts w:eastAsiaTheme="minorHAnsi"/>
        </w:rPr>
        <w:t>for the pavilion was achieved there have been a number of snagging items and thes</w:t>
      </w:r>
      <w:r w:rsidR="00361C76" w:rsidRPr="00D07EAF">
        <w:rPr>
          <w:rFonts w:eastAsiaTheme="minorHAnsi"/>
        </w:rPr>
        <w:t>e are currently being rectified</w:t>
      </w:r>
      <w:r w:rsidRPr="00D07EAF">
        <w:rPr>
          <w:rFonts w:eastAsiaTheme="minorHAnsi"/>
        </w:rPr>
        <w:t>.</w:t>
      </w:r>
      <w:r w:rsidR="00361C76" w:rsidRPr="00D07EAF">
        <w:rPr>
          <w:rFonts w:eastAsiaTheme="minorHAnsi"/>
        </w:rPr>
        <w:t xml:space="preserve"> </w:t>
      </w:r>
      <w:r w:rsidRPr="00D07EAF">
        <w:rPr>
          <w:rFonts w:eastAsiaTheme="minorHAnsi"/>
        </w:rPr>
        <w:t>Examples of the snagging ite</w:t>
      </w:r>
      <w:r w:rsidR="007367F6" w:rsidRPr="00D07EAF">
        <w:rPr>
          <w:rFonts w:eastAsiaTheme="minorHAnsi"/>
        </w:rPr>
        <w:t>ms include defective door locks</w:t>
      </w:r>
      <w:r w:rsidRPr="00D07EAF">
        <w:rPr>
          <w:rFonts w:eastAsiaTheme="minorHAnsi"/>
        </w:rPr>
        <w:t>, a roof le</w:t>
      </w:r>
      <w:r w:rsidR="007367F6" w:rsidRPr="00D07EAF">
        <w:rPr>
          <w:rFonts w:eastAsiaTheme="minorHAnsi"/>
        </w:rPr>
        <w:t>ak and poor cleansing standards</w:t>
      </w:r>
      <w:r w:rsidRPr="00D07EAF">
        <w:rPr>
          <w:rFonts w:eastAsiaTheme="minorHAnsi"/>
        </w:rPr>
        <w:t xml:space="preserve">. </w:t>
      </w:r>
      <w:r w:rsidR="008733D6" w:rsidRPr="00D07EAF">
        <w:rPr>
          <w:rFonts w:eastAsiaTheme="minorHAnsi"/>
        </w:rPr>
        <w:t xml:space="preserve">The snagging items are proving particularly challenging for both the clubs and BOLLP. </w:t>
      </w:r>
    </w:p>
    <w:p w:rsidR="00361C76" w:rsidRPr="00D07EAF" w:rsidRDefault="00AB5D12" w:rsidP="00D07EAF">
      <w:pPr>
        <w:pStyle w:val="ListParagraph"/>
        <w:rPr>
          <w:rFonts w:eastAsiaTheme="minorHAnsi"/>
        </w:rPr>
      </w:pPr>
      <w:r w:rsidRPr="00D07EAF">
        <w:rPr>
          <w:rFonts w:eastAsiaTheme="minorHAnsi"/>
        </w:rPr>
        <w:t xml:space="preserve">The adult </w:t>
      </w:r>
      <w:r w:rsidR="00445C7E" w:rsidRPr="00D07EAF">
        <w:rPr>
          <w:rFonts w:eastAsiaTheme="minorHAnsi"/>
        </w:rPr>
        <w:t xml:space="preserve">sports </w:t>
      </w:r>
      <w:r w:rsidRPr="00D07EAF">
        <w:rPr>
          <w:rFonts w:eastAsiaTheme="minorHAnsi"/>
        </w:rPr>
        <w:t xml:space="preserve">pitch has been problematic </w:t>
      </w:r>
      <w:r w:rsidR="005B195B" w:rsidRPr="00D07EAF">
        <w:rPr>
          <w:rFonts w:eastAsiaTheme="minorHAnsi"/>
        </w:rPr>
        <w:t xml:space="preserve">most recently with subsidence linked to </w:t>
      </w:r>
      <w:r w:rsidR="007367F6" w:rsidRPr="00D07EAF">
        <w:rPr>
          <w:rFonts w:eastAsiaTheme="minorHAnsi"/>
        </w:rPr>
        <w:t>drainage and weather conditions</w:t>
      </w:r>
      <w:r w:rsidR="005B195B" w:rsidRPr="00D07EAF">
        <w:rPr>
          <w:rFonts w:eastAsiaTheme="minorHAnsi"/>
        </w:rPr>
        <w:t xml:space="preserve">. Works to the drainage runs are completed and the </w:t>
      </w:r>
      <w:r w:rsidR="00E34794" w:rsidRPr="00D07EAF">
        <w:rPr>
          <w:rFonts w:eastAsiaTheme="minorHAnsi"/>
        </w:rPr>
        <w:t>a</w:t>
      </w:r>
      <w:r w:rsidR="005B195B" w:rsidRPr="00D07EAF">
        <w:rPr>
          <w:rFonts w:eastAsiaTheme="minorHAnsi"/>
        </w:rPr>
        <w:t>ffected areas re</w:t>
      </w:r>
      <w:r w:rsidR="007367F6" w:rsidRPr="00D07EAF">
        <w:rPr>
          <w:rFonts w:eastAsiaTheme="minorHAnsi"/>
        </w:rPr>
        <w:t>seeded</w:t>
      </w:r>
      <w:r w:rsidR="005B195B" w:rsidRPr="00D07EAF">
        <w:rPr>
          <w:rFonts w:eastAsiaTheme="minorHAnsi"/>
        </w:rPr>
        <w:t>. Regular watering has been undertake</w:t>
      </w:r>
      <w:r w:rsidR="007367F6" w:rsidRPr="00D07EAF">
        <w:rPr>
          <w:rFonts w:eastAsiaTheme="minorHAnsi"/>
        </w:rPr>
        <w:t>n and will continue as required</w:t>
      </w:r>
      <w:r w:rsidR="005B195B" w:rsidRPr="00D07EAF">
        <w:rPr>
          <w:rFonts w:eastAsiaTheme="minorHAnsi"/>
        </w:rPr>
        <w:t>. The pitch is improving rap</w:t>
      </w:r>
      <w:r w:rsidR="007367F6" w:rsidRPr="00D07EAF">
        <w:rPr>
          <w:rFonts w:eastAsiaTheme="minorHAnsi"/>
        </w:rPr>
        <w:t>idly</w:t>
      </w:r>
      <w:r w:rsidR="005B195B" w:rsidRPr="00D07EAF">
        <w:rPr>
          <w:rFonts w:eastAsiaTheme="minorHAnsi"/>
        </w:rPr>
        <w:t xml:space="preserve">. </w:t>
      </w:r>
      <w:r w:rsidR="00092025" w:rsidRPr="00D07EAF">
        <w:rPr>
          <w:rFonts w:eastAsiaTheme="minorHAnsi"/>
        </w:rPr>
        <w:t>The first matches of the season have taken place, with no further complaints about the pitch.</w:t>
      </w:r>
      <w:r w:rsidR="00445C7E" w:rsidRPr="00D07EAF">
        <w:rPr>
          <w:rFonts w:eastAsiaTheme="minorHAnsi"/>
        </w:rPr>
        <w:t xml:space="preserve"> </w:t>
      </w:r>
      <w:r w:rsidR="00092025" w:rsidRPr="00D07EAF">
        <w:rPr>
          <w:rFonts w:eastAsiaTheme="minorHAnsi"/>
        </w:rPr>
        <w:t>Both</w:t>
      </w:r>
      <w:r w:rsidR="008733D6" w:rsidRPr="00D07EAF">
        <w:rPr>
          <w:rFonts w:eastAsiaTheme="minorHAnsi"/>
        </w:rPr>
        <w:t xml:space="preserve"> BOLLP</w:t>
      </w:r>
      <w:r w:rsidR="00092025" w:rsidRPr="00D07EAF">
        <w:rPr>
          <w:rFonts w:eastAsiaTheme="minorHAnsi"/>
        </w:rPr>
        <w:t xml:space="preserve"> and the City Council are keeping in close contact with the clubs to update on progress. </w:t>
      </w:r>
    </w:p>
    <w:p w:rsidR="00405CF0" w:rsidRPr="00D07EAF" w:rsidRDefault="003A76C8" w:rsidP="00D07EAF">
      <w:pPr>
        <w:pStyle w:val="ListParagraph"/>
        <w:rPr>
          <w:rFonts w:eastAsiaTheme="minorHAnsi"/>
        </w:rPr>
      </w:pPr>
      <w:r w:rsidRPr="00D07EAF">
        <w:rPr>
          <w:rFonts w:eastAsiaTheme="minorHAnsi"/>
        </w:rPr>
        <w:t>The school pitch will be available outside sc</w:t>
      </w:r>
      <w:r w:rsidR="007367F6" w:rsidRPr="00D07EAF">
        <w:rPr>
          <w:rFonts w:eastAsiaTheme="minorHAnsi"/>
        </w:rPr>
        <w:t>hool hours for use by the clubs</w:t>
      </w:r>
      <w:r w:rsidRPr="00D07EAF">
        <w:rPr>
          <w:rFonts w:eastAsiaTheme="minorHAnsi"/>
        </w:rPr>
        <w:t>. The school pitch is a 9</w:t>
      </w:r>
      <w:r w:rsidR="007367F6" w:rsidRPr="00D07EAF">
        <w:rPr>
          <w:rFonts w:eastAsiaTheme="minorHAnsi"/>
        </w:rPr>
        <w:t xml:space="preserve"> </w:t>
      </w:r>
      <w:r w:rsidRPr="00D07EAF">
        <w:rPr>
          <w:rFonts w:eastAsiaTheme="minorHAnsi"/>
        </w:rPr>
        <w:t>x</w:t>
      </w:r>
      <w:r w:rsidR="007367F6" w:rsidRPr="00D07EAF">
        <w:rPr>
          <w:rFonts w:eastAsiaTheme="minorHAnsi"/>
        </w:rPr>
        <w:t xml:space="preserve"> </w:t>
      </w:r>
      <w:r w:rsidRPr="00D07EAF">
        <w:rPr>
          <w:rFonts w:eastAsiaTheme="minorHAnsi"/>
        </w:rPr>
        <w:t xml:space="preserve">9 </w:t>
      </w:r>
      <w:r w:rsidR="007367F6" w:rsidRPr="00D07EAF">
        <w:rPr>
          <w:rFonts w:eastAsiaTheme="minorHAnsi"/>
        </w:rPr>
        <w:t>pitch as per planning consent</w:t>
      </w:r>
      <w:r w:rsidRPr="00D07EAF">
        <w:rPr>
          <w:rFonts w:eastAsiaTheme="minorHAnsi"/>
        </w:rPr>
        <w:t>. The clubs have expressed a desire for an 11</w:t>
      </w:r>
      <w:r w:rsidR="007367F6" w:rsidRPr="00D07EAF">
        <w:rPr>
          <w:rFonts w:eastAsiaTheme="minorHAnsi"/>
        </w:rPr>
        <w:t xml:space="preserve"> </w:t>
      </w:r>
      <w:r w:rsidRPr="00D07EAF">
        <w:rPr>
          <w:rFonts w:eastAsiaTheme="minorHAnsi"/>
        </w:rPr>
        <w:t>x</w:t>
      </w:r>
      <w:r w:rsidR="007367F6" w:rsidRPr="00D07EAF">
        <w:rPr>
          <w:rFonts w:eastAsiaTheme="minorHAnsi"/>
        </w:rPr>
        <w:t xml:space="preserve"> 11 pitch</w:t>
      </w:r>
      <w:r w:rsidRPr="00D07EAF">
        <w:rPr>
          <w:rFonts w:eastAsiaTheme="minorHAnsi"/>
        </w:rPr>
        <w:t xml:space="preserve">. ODSL </w:t>
      </w:r>
      <w:r w:rsidR="00092025" w:rsidRPr="00D07EAF">
        <w:rPr>
          <w:rFonts w:eastAsiaTheme="minorHAnsi"/>
        </w:rPr>
        <w:t>will</w:t>
      </w:r>
      <w:r w:rsidRPr="00D07EAF">
        <w:rPr>
          <w:rFonts w:eastAsiaTheme="minorHAnsi"/>
        </w:rPr>
        <w:t xml:space="preserve"> inspect the pitch week commencing </w:t>
      </w:r>
      <w:r w:rsidR="00675D2E" w:rsidRPr="00D07EAF">
        <w:rPr>
          <w:rFonts w:eastAsiaTheme="minorHAnsi"/>
        </w:rPr>
        <w:t>16</w:t>
      </w:r>
      <w:r w:rsidR="007367F6" w:rsidRPr="00D07EAF">
        <w:rPr>
          <w:rFonts w:eastAsiaTheme="minorHAnsi"/>
        </w:rPr>
        <w:t xml:space="preserve"> </w:t>
      </w:r>
      <w:r w:rsidR="00675D2E" w:rsidRPr="00D07EAF">
        <w:rPr>
          <w:rFonts w:eastAsiaTheme="minorHAnsi"/>
        </w:rPr>
        <w:t>Sep</w:t>
      </w:r>
      <w:r w:rsidR="007367F6" w:rsidRPr="00D07EAF">
        <w:rPr>
          <w:rFonts w:eastAsiaTheme="minorHAnsi"/>
        </w:rPr>
        <w:t xml:space="preserve"> 2019</w:t>
      </w:r>
      <w:r w:rsidRPr="00D07EAF">
        <w:rPr>
          <w:rFonts w:eastAsiaTheme="minorHAnsi"/>
        </w:rPr>
        <w:t xml:space="preserve"> and will endeavo</w:t>
      </w:r>
      <w:r w:rsidR="007367F6" w:rsidRPr="00D07EAF">
        <w:rPr>
          <w:rFonts w:eastAsiaTheme="minorHAnsi"/>
        </w:rPr>
        <w:t>ur to mark out an 11 x 11 pitch. Going forward</w:t>
      </w:r>
      <w:r w:rsidRPr="00D07EAF">
        <w:rPr>
          <w:rFonts w:eastAsiaTheme="minorHAnsi"/>
        </w:rPr>
        <w:t>, this will need to be agreed with the academy running the school and use will be c</w:t>
      </w:r>
      <w:r w:rsidR="007367F6" w:rsidRPr="00D07EAF">
        <w:rPr>
          <w:rFonts w:eastAsiaTheme="minorHAnsi"/>
        </w:rPr>
        <w:t>overed by a joint use agreement</w:t>
      </w:r>
      <w:r w:rsidRPr="00D07EAF">
        <w:rPr>
          <w:rFonts w:eastAsiaTheme="minorHAnsi"/>
        </w:rPr>
        <w:t xml:space="preserve">. </w:t>
      </w:r>
    </w:p>
    <w:p w:rsidR="006F107D" w:rsidRPr="00D07EAF" w:rsidRDefault="005B195B" w:rsidP="00D07EAF">
      <w:pPr>
        <w:pStyle w:val="ListParagraph"/>
        <w:rPr>
          <w:rFonts w:eastAsiaTheme="minorHAnsi"/>
        </w:rPr>
      </w:pPr>
      <w:r w:rsidRPr="00D07EAF">
        <w:rPr>
          <w:rFonts w:eastAsiaTheme="minorHAnsi"/>
        </w:rPr>
        <w:t xml:space="preserve">The fencing around the </w:t>
      </w:r>
      <w:r w:rsidR="007367F6" w:rsidRPr="00D07EAF">
        <w:rPr>
          <w:rFonts w:eastAsiaTheme="minorHAnsi"/>
        </w:rPr>
        <w:t xml:space="preserve">3G pitch is </w:t>
      </w:r>
      <w:r w:rsidR="00675D2E" w:rsidRPr="00D07EAF">
        <w:rPr>
          <w:rFonts w:eastAsiaTheme="minorHAnsi"/>
        </w:rPr>
        <w:t>now</w:t>
      </w:r>
      <w:r w:rsidR="007367F6" w:rsidRPr="00D07EAF">
        <w:rPr>
          <w:rFonts w:eastAsiaTheme="minorHAnsi"/>
        </w:rPr>
        <w:t xml:space="preserve"> completed</w:t>
      </w:r>
      <w:r w:rsidR="00675D2E" w:rsidRPr="00D07EAF">
        <w:rPr>
          <w:rFonts w:eastAsiaTheme="minorHAnsi"/>
        </w:rPr>
        <w:t xml:space="preserve"> which has allowed</w:t>
      </w:r>
      <w:r w:rsidRPr="00D07EAF">
        <w:rPr>
          <w:rFonts w:eastAsiaTheme="minorHAnsi"/>
        </w:rPr>
        <w:t xml:space="preserve"> the lin</w:t>
      </w:r>
      <w:r w:rsidR="007367F6" w:rsidRPr="00D07EAF">
        <w:rPr>
          <w:rFonts w:eastAsiaTheme="minorHAnsi"/>
        </w:rPr>
        <w:t xml:space="preserve">ear park </w:t>
      </w:r>
      <w:r w:rsidR="00675D2E" w:rsidRPr="00D07EAF">
        <w:rPr>
          <w:rFonts w:eastAsiaTheme="minorHAnsi"/>
        </w:rPr>
        <w:t xml:space="preserve">to </w:t>
      </w:r>
      <w:proofErr w:type="gramStart"/>
      <w:r w:rsidR="00675D2E" w:rsidRPr="00D07EAF">
        <w:rPr>
          <w:rFonts w:eastAsiaTheme="minorHAnsi"/>
        </w:rPr>
        <w:t xml:space="preserve">be </w:t>
      </w:r>
      <w:r w:rsidR="007367F6" w:rsidRPr="00D07EAF">
        <w:rPr>
          <w:rFonts w:eastAsiaTheme="minorHAnsi"/>
        </w:rPr>
        <w:t xml:space="preserve"> </w:t>
      </w:r>
      <w:r w:rsidR="006F107D" w:rsidRPr="00D07EAF">
        <w:rPr>
          <w:rFonts w:eastAsiaTheme="minorHAnsi"/>
        </w:rPr>
        <w:t>in</w:t>
      </w:r>
      <w:r w:rsidR="007367F6" w:rsidRPr="00D07EAF">
        <w:rPr>
          <w:rFonts w:eastAsiaTheme="minorHAnsi"/>
        </w:rPr>
        <w:t>formally</w:t>
      </w:r>
      <w:proofErr w:type="gramEnd"/>
      <w:r w:rsidR="007367F6" w:rsidRPr="00D07EAF">
        <w:rPr>
          <w:rFonts w:eastAsiaTheme="minorHAnsi"/>
        </w:rPr>
        <w:t xml:space="preserve"> opened</w:t>
      </w:r>
      <w:r w:rsidR="006F107D" w:rsidRPr="00D07EAF">
        <w:rPr>
          <w:rFonts w:eastAsiaTheme="minorHAnsi"/>
        </w:rPr>
        <w:t xml:space="preserve"> along with  the spine road from Barton Village Rd to the car park adjacent to the pavilion </w:t>
      </w:r>
      <w:r w:rsidRPr="00D07EAF">
        <w:rPr>
          <w:rFonts w:eastAsiaTheme="minorHAnsi"/>
        </w:rPr>
        <w:t xml:space="preserve">. The linear park provides a </w:t>
      </w:r>
      <w:r w:rsidR="00C1575B" w:rsidRPr="00D07EAF">
        <w:rPr>
          <w:rFonts w:eastAsiaTheme="minorHAnsi"/>
        </w:rPr>
        <w:t xml:space="preserve">first class environment with fitness trails and exercise equipment which </w:t>
      </w:r>
      <w:r w:rsidR="006F107D" w:rsidRPr="00D07EAF">
        <w:rPr>
          <w:rFonts w:eastAsiaTheme="minorHAnsi"/>
        </w:rPr>
        <w:t>is now</w:t>
      </w:r>
      <w:r w:rsidR="00C1575B" w:rsidRPr="00D07EAF">
        <w:rPr>
          <w:rFonts w:eastAsiaTheme="minorHAnsi"/>
        </w:rPr>
        <w:t xml:space="preserve"> available to Barton Park r</w:t>
      </w:r>
      <w:r w:rsidR="007367F6" w:rsidRPr="00D07EAF">
        <w:rPr>
          <w:rFonts w:eastAsiaTheme="minorHAnsi"/>
        </w:rPr>
        <w:t>esidents and the general public</w:t>
      </w:r>
      <w:r w:rsidR="006F107D" w:rsidRPr="00D07EAF">
        <w:rPr>
          <w:rFonts w:eastAsiaTheme="minorHAnsi"/>
        </w:rPr>
        <w:t>.</w:t>
      </w:r>
    </w:p>
    <w:p w:rsidR="00361C76" w:rsidRPr="00D07EAF" w:rsidRDefault="006F107D" w:rsidP="00D07EAF">
      <w:pPr>
        <w:pStyle w:val="ListParagraph"/>
        <w:rPr>
          <w:rFonts w:eastAsiaTheme="minorHAnsi"/>
          <w:lang w:eastAsia="en-US"/>
        </w:rPr>
      </w:pPr>
      <w:r w:rsidRPr="00D07EAF">
        <w:rPr>
          <w:rFonts w:eastAsiaTheme="minorHAnsi"/>
        </w:rPr>
        <w:t xml:space="preserve"> There have been reports of anti-social behaviour on the linear park adjacent to Hill’s tranche that has already been opened. This has been reported to PCSO’s and security increased</w:t>
      </w:r>
      <w:r>
        <w:rPr>
          <w:rFonts w:eastAsiaTheme="minorHAnsi"/>
          <w:lang w:eastAsia="en-US"/>
        </w:rPr>
        <w:t xml:space="preserve"> around this location.  </w:t>
      </w:r>
    </w:p>
    <w:p w:rsidR="006D052F" w:rsidRDefault="005C7E85" w:rsidP="00D07EAF">
      <w:pPr>
        <w:pStyle w:val="Heading1"/>
        <w:rPr>
          <w:rFonts w:eastAsiaTheme="minorHAnsi"/>
          <w:lang w:eastAsia="en-US"/>
        </w:rPr>
      </w:pPr>
      <w:r w:rsidRPr="00575235">
        <w:rPr>
          <w:rFonts w:eastAsiaTheme="minorHAnsi"/>
          <w:lang w:eastAsia="en-US"/>
        </w:rPr>
        <w:t xml:space="preserve">Public Art </w:t>
      </w:r>
    </w:p>
    <w:p w:rsidR="00E17C05" w:rsidRPr="00D07EAF" w:rsidRDefault="00E17C05" w:rsidP="00D07EAF">
      <w:pPr>
        <w:pStyle w:val="ListParagraph"/>
        <w:rPr>
          <w:rFonts w:eastAsiaTheme="minorHAnsi"/>
        </w:rPr>
      </w:pPr>
      <w:r w:rsidRPr="001C4D18">
        <w:rPr>
          <w:rFonts w:eastAsiaTheme="minorHAnsi"/>
          <w:lang w:eastAsia="en-US"/>
        </w:rPr>
        <w:t xml:space="preserve">Public </w:t>
      </w:r>
      <w:r w:rsidRPr="00D07EAF">
        <w:rPr>
          <w:rFonts w:eastAsiaTheme="minorHAnsi"/>
        </w:rPr>
        <w:t xml:space="preserve">art is a requirement of the s106 </w:t>
      </w:r>
      <w:proofErr w:type="gramStart"/>
      <w:r w:rsidRPr="00D07EAF">
        <w:rPr>
          <w:rFonts w:eastAsiaTheme="minorHAnsi"/>
        </w:rPr>
        <w:t>agreement ,</w:t>
      </w:r>
      <w:proofErr w:type="gramEnd"/>
      <w:r w:rsidRPr="00D07EAF">
        <w:rPr>
          <w:rFonts w:eastAsiaTheme="minorHAnsi"/>
        </w:rPr>
        <w:t xml:space="preserve"> which states that a public      art strategy is to be provided to the Local Planning Authority . The S106 does not place a value on the cost envelope for public art and there is currently a disagreement between BOLLP and the community around this budget.</w:t>
      </w:r>
      <w:r w:rsidR="001C4D18" w:rsidRPr="00D07EAF">
        <w:rPr>
          <w:rFonts w:eastAsiaTheme="minorHAnsi"/>
        </w:rPr>
        <w:t xml:space="preserve"> The Regeneration and Major Projects Service Manager is currently looking to clarify this budget.</w:t>
      </w:r>
      <w:r w:rsidR="007133D8" w:rsidRPr="00D07EAF">
        <w:rPr>
          <w:rFonts w:eastAsiaTheme="minorHAnsi"/>
        </w:rPr>
        <w:t xml:space="preserve"> Both BOLLP and community consultees agree, however, that the public art contribution should produce something of use for Barton Park residents and residents of adjacent communities (IE not a </w:t>
      </w:r>
      <w:r w:rsidR="001C4D18" w:rsidRPr="00D07EAF">
        <w:rPr>
          <w:rFonts w:eastAsiaTheme="minorHAnsi"/>
        </w:rPr>
        <w:t xml:space="preserve">statue on the linear park). </w:t>
      </w:r>
      <w:r w:rsidRPr="00D07EAF">
        <w:rPr>
          <w:rFonts w:eastAsiaTheme="minorHAnsi"/>
        </w:rPr>
        <w:t xml:space="preserve"> </w:t>
      </w:r>
    </w:p>
    <w:p w:rsidR="007B18DF" w:rsidRPr="00D07EAF" w:rsidRDefault="005C7E85" w:rsidP="00D07EAF">
      <w:pPr>
        <w:pStyle w:val="ListParagraph"/>
        <w:rPr>
          <w:rFonts w:eastAsiaTheme="minorHAnsi"/>
        </w:rPr>
      </w:pPr>
      <w:r w:rsidRPr="00D07EAF">
        <w:rPr>
          <w:rFonts w:eastAsiaTheme="minorHAnsi"/>
        </w:rPr>
        <w:t>Public art consult</w:t>
      </w:r>
      <w:r w:rsidR="002A2D09" w:rsidRPr="00D07EAF">
        <w:rPr>
          <w:rFonts w:eastAsiaTheme="minorHAnsi"/>
        </w:rPr>
        <w:t>ants had consulted on three</w:t>
      </w:r>
      <w:r w:rsidR="007367F6" w:rsidRPr="00D07EAF">
        <w:rPr>
          <w:rFonts w:eastAsiaTheme="minorHAnsi"/>
        </w:rPr>
        <w:t xml:space="preserve"> options</w:t>
      </w:r>
      <w:r w:rsidRPr="00D07EAF">
        <w:rPr>
          <w:rFonts w:eastAsiaTheme="minorHAnsi"/>
        </w:rPr>
        <w:t>, with the favour</w:t>
      </w:r>
      <w:r w:rsidR="007367F6" w:rsidRPr="00D07EAF">
        <w:rPr>
          <w:rFonts w:eastAsiaTheme="minorHAnsi"/>
        </w:rPr>
        <w:t>ed option being a “green room”</w:t>
      </w:r>
      <w:r w:rsidRPr="00D07EAF">
        <w:rPr>
          <w:rFonts w:eastAsiaTheme="minorHAnsi"/>
        </w:rPr>
        <w:t>. Despite detailed value engineering th</w:t>
      </w:r>
      <w:r w:rsidR="000F417B" w:rsidRPr="00D07EAF">
        <w:rPr>
          <w:rFonts w:eastAsiaTheme="minorHAnsi"/>
        </w:rPr>
        <w:t xml:space="preserve">e consultants were unable to develop a proposal that could be delivered </w:t>
      </w:r>
      <w:r w:rsidR="007367F6" w:rsidRPr="00D07EAF">
        <w:rPr>
          <w:rFonts w:eastAsiaTheme="minorHAnsi"/>
        </w:rPr>
        <w:t>in budget</w:t>
      </w:r>
      <w:r w:rsidRPr="00D07EAF">
        <w:rPr>
          <w:rFonts w:eastAsiaTheme="minorHAnsi"/>
        </w:rPr>
        <w:t>. The further options would require significant outlay on design and costing which would further deplete the av</w:t>
      </w:r>
      <w:r w:rsidR="007367F6" w:rsidRPr="00D07EAF">
        <w:rPr>
          <w:rFonts w:eastAsiaTheme="minorHAnsi"/>
        </w:rPr>
        <w:t>ailable budget for construction</w:t>
      </w:r>
      <w:r w:rsidRPr="00D07EAF">
        <w:rPr>
          <w:rFonts w:eastAsiaTheme="minorHAnsi"/>
        </w:rPr>
        <w:t>.</w:t>
      </w:r>
    </w:p>
    <w:p w:rsidR="00445C7E" w:rsidRPr="00D07EAF" w:rsidRDefault="005C7E85" w:rsidP="00D07EAF">
      <w:pPr>
        <w:pStyle w:val="ListParagraph"/>
        <w:rPr>
          <w:rFonts w:eastAsiaTheme="minorHAnsi"/>
        </w:rPr>
      </w:pPr>
      <w:r w:rsidRPr="00D07EAF">
        <w:rPr>
          <w:rFonts w:eastAsiaTheme="minorHAnsi"/>
        </w:rPr>
        <w:t xml:space="preserve"> An alternate proposal</w:t>
      </w:r>
      <w:r w:rsidRPr="00D07EAF">
        <w:rPr>
          <w:rFonts w:eastAsiaTheme="minorHAnsi"/>
          <w:lang w:eastAsia="en-US"/>
        </w:rPr>
        <w:t xml:space="preserve"> is now being suggested by BOLLP which is the provision of themed planter based </w:t>
      </w:r>
      <w:r w:rsidR="007367F6" w:rsidRPr="00D07EAF">
        <w:rPr>
          <w:rFonts w:eastAsiaTheme="minorHAnsi"/>
          <w:lang w:eastAsia="en-US"/>
        </w:rPr>
        <w:t>garden areas across Barton Park.</w:t>
      </w:r>
      <w:r w:rsidR="000F417B" w:rsidRPr="000F417B">
        <w:t xml:space="preserve"> </w:t>
      </w:r>
      <w:r w:rsidR="000F417B" w:rsidRPr="00575235">
        <w:t>It is proposed that planning, design, production and installation of the hard structu</w:t>
      </w:r>
      <w:r w:rsidR="000F417B">
        <w:t xml:space="preserve">res will be undertaken by RAW.  </w:t>
      </w:r>
      <w:r w:rsidR="000F417B" w:rsidRPr="00575235">
        <w:t xml:space="preserve">An Oxford based charity, RAW specialises in the use of </w:t>
      </w:r>
      <w:r w:rsidR="000F417B" w:rsidRPr="00575235">
        <w:lastRenderedPageBreak/>
        <w:t xml:space="preserve">waste timber to produce furniture and other products.  In addition RAW has a policy of employing local people identified as lacking the opportunities afforded to other elements of society. A further option is that the design of </w:t>
      </w:r>
      <w:r w:rsidR="000F417B" w:rsidRPr="0007094D">
        <w:t xml:space="preserve">planting </w:t>
      </w:r>
      <w:proofErr w:type="gramStart"/>
      <w:r w:rsidR="000F417B" w:rsidRPr="0007094D">
        <w:t>plans,</w:t>
      </w:r>
      <w:proofErr w:type="gramEnd"/>
      <w:r w:rsidR="000F417B" w:rsidRPr="00575235">
        <w:t xml:space="preserve"> planting and ongoing involvement of the local community is undertaken </w:t>
      </w:r>
      <w:r w:rsidR="000F417B">
        <w:t xml:space="preserve">by Edible Oxford </w:t>
      </w:r>
      <w:r w:rsidR="000F417B" w:rsidRPr="00575235">
        <w:t>an</w:t>
      </w:r>
      <w:r w:rsidR="00177246">
        <w:t>other</w:t>
      </w:r>
      <w:r w:rsidR="000F417B" w:rsidRPr="00575235">
        <w:t xml:space="preserve"> Oxford based charity</w:t>
      </w:r>
      <w:r w:rsidR="00177246">
        <w:t xml:space="preserve">. </w:t>
      </w:r>
      <w:r w:rsidR="000F417B" w:rsidRPr="00575235">
        <w:t>Edible Oxford specialise in the installation of planting schemes to create durable, edible landscapes on land that would otherwise be unplanted or planted w</w:t>
      </w:r>
      <w:r w:rsidR="000F417B">
        <w:t xml:space="preserve">ith </w:t>
      </w:r>
      <w:r w:rsidR="000F417B" w:rsidRPr="00D07EAF">
        <w:t xml:space="preserve">generic bedding plants.  In </w:t>
      </w:r>
      <w:proofErr w:type="gramStart"/>
      <w:r w:rsidR="000F417B" w:rsidRPr="00D07EAF">
        <w:t>addition  Beautiful</w:t>
      </w:r>
      <w:proofErr w:type="gramEnd"/>
      <w:r w:rsidR="000F417B" w:rsidRPr="00D07EAF">
        <w:t xml:space="preserve"> Barton will be engaged in this element of the project.</w:t>
      </w:r>
    </w:p>
    <w:p w:rsidR="000F417B" w:rsidRPr="00D07EAF" w:rsidRDefault="007367F6" w:rsidP="00D07EAF">
      <w:pPr>
        <w:pStyle w:val="ListParagraph"/>
        <w:rPr>
          <w:rFonts w:eastAsiaTheme="minorHAnsi"/>
        </w:rPr>
      </w:pPr>
      <w:r w:rsidRPr="00D07EAF">
        <w:rPr>
          <w:rFonts w:eastAsiaTheme="minorHAnsi"/>
        </w:rPr>
        <w:t xml:space="preserve"> Once </w:t>
      </w:r>
      <w:r w:rsidR="000F417B" w:rsidRPr="00D07EAF">
        <w:rPr>
          <w:rFonts w:eastAsiaTheme="minorHAnsi"/>
        </w:rPr>
        <w:t>the proposal is fully developed</w:t>
      </w:r>
      <w:r w:rsidR="005C7E85" w:rsidRPr="00D07EAF">
        <w:rPr>
          <w:rFonts w:eastAsiaTheme="minorHAnsi"/>
        </w:rPr>
        <w:t>, there will be community engagement through a series</w:t>
      </w:r>
      <w:r w:rsidRPr="00D07EAF">
        <w:rPr>
          <w:rFonts w:eastAsiaTheme="minorHAnsi"/>
        </w:rPr>
        <w:t xml:space="preserve"> of workshops covering planting</w:t>
      </w:r>
      <w:r w:rsidR="005C7E85" w:rsidRPr="00D07EAF">
        <w:rPr>
          <w:rFonts w:eastAsiaTheme="minorHAnsi"/>
        </w:rPr>
        <w:t xml:space="preserve">, maintaining </w:t>
      </w:r>
      <w:r w:rsidRPr="00D07EAF">
        <w:rPr>
          <w:rFonts w:eastAsiaTheme="minorHAnsi"/>
        </w:rPr>
        <w:t>and using the resultant produce</w:t>
      </w:r>
      <w:r w:rsidR="005C7E85" w:rsidRPr="00D07EAF">
        <w:rPr>
          <w:rFonts w:eastAsiaTheme="minorHAnsi"/>
        </w:rPr>
        <w:t>.</w:t>
      </w:r>
      <w:r w:rsidR="000F417B" w:rsidRPr="00D07EAF">
        <w:t xml:space="preserve"> BOLLP’s strategy is threefold and involves, firstly, identifying land available for use, secondly, procuring a design and delivery partner to cover planning, design and production of the hard structures, and thirdly procurement a delivery partner to cover plant planning, planting and the ongoing process of informing and connecting with the local community.  BOLLP will engage and liaise closely with City’s Locality Officer as part of the process.</w:t>
      </w:r>
    </w:p>
    <w:p w:rsidR="007B18DF" w:rsidRDefault="005C7E85" w:rsidP="00D07EAF">
      <w:pPr>
        <w:pStyle w:val="ListParagraph"/>
        <w:rPr>
          <w:rFonts w:eastAsiaTheme="minorHAnsi" w:cs="Arial"/>
          <w:color w:val="auto"/>
          <w:lang w:eastAsia="en-US"/>
        </w:rPr>
      </w:pPr>
      <w:r w:rsidRPr="00D07EAF">
        <w:rPr>
          <w:rFonts w:eastAsiaTheme="minorHAnsi"/>
        </w:rPr>
        <w:t xml:space="preserve"> The BOL</w:t>
      </w:r>
      <w:r w:rsidR="007367F6" w:rsidRPr="00D07EAF">
        <w:rPr>
          <w:rFonts w:eastAsiaTheme="minorHAnsi"/>
        </w:rPr>
        <w:t>LP Board approved this approach</w:t>
      </w:r>
      <w:r w:rsidRPr="00D07EAF">
        <w:rPr>
          <w:rFonts w:eastAsiaTheme="minorHAnsi"/>
        </w:rPr>
        <w:t xml:space="preserve">, and noted that a planter could also be provided on Council owned land close to Barton </w:t>
      </w:r>
      <w:r w:rsidR="00907C06" w:rsidRPr="00D07EAF">
        <w:rPr>
          <w:rFonts w:eastAsiaTheme="minorHAnsi"/>
        </w:rPr>
        <w:t xml:space="preserve">Neighbourhood centre </w:t>
      </w:r>
      <w:r w:rsidR="007367F6" w:rsidRPr="00D07EAF">
        <w:rPr>
          <w:rFonts w:eastAsiaTheme="minorHAnsi"/>
        </w:rPr>
        <w:t>and close to the primary school</w:t>
      </w:r>
      <w:r w:rsidR="00907C06" w:rsidRPr="00D07EAF">
        <w:rPr>
          <w:rFonts w:eastAsiaTheme="minorHAnsi"/>
        </w:rPr>
        <w:t xml:space="preserve">. </w:t>
      </w:r>
      <w:r w:rsidR="000F417B" w:rsidRPr="00D07EAF">
        <w:rPr>
          <w:rFonts w:eastAsiaTheme="minorHAnsi"/>
        </w:rPr>
        <w:t>In addition it was suggested that a sinking fund would be required to offset future costs.</w:t>
      </w:r>
      <w:r w:rsidR="000F417B" w:rsidRPr="000F417B">
        <w:rPr>
          <w:rFonts w:eastAsiaTheme="minorHAnsi" w:cs="Arial"/>
          <w:color w:val="auto"/>
          <w:lang w:eastAsia="en-US"/>
        </w:rPr>
        <w:t xml:space="preserve"> </w:t>
      </w:r>
      <w:r w:rsidR="00907C06" w:rsidRPr="000F417B">
        <w:rPr>
          <w:rFonts w:eastAsiaTheme="minorHAnsi" w:cs="Arial"/>
          <w:color w:val="auto"/>
          <w:lang w:eastAsia="en-US"/>
        </w:rPr>
        <w:t xml:space="preserve">The revised proposal </w:t>
      </w:r>
      <w:r w:rsidR="006F107D">
        <w:rPr>
          <w:rFonts w:eastAsiaTheme="minorHAnsi" w:cs="Arial"/>
          <w:color w:val="auto"/>
          <w:lang w:eastAsia="en-US"/>
        </w:rPr>
        <w:t>was t</w:t>
      </w:r>
      <w:r w:rsidR="00907C06" w:rsidRPr="000F417B">
        <w:rPr>
          <w:rFonts w:eastAsiaTheme="minorHAnsi" w:cs="Arial"/>
          <w:color w:val="auto"/>
          <w:lang w:eastAsia="en-US"/>
        </w:rPr>
        <w:t xml:space="preserve">aken to BICEP week commencing </w:t>
      </w:r>
      <w:r w:rsidR="007367F6" w:rsidRPr="000F417B">
        <w:rPr>
          <w:rFonts w:eastAsiaTheme="minorHAnsi" w:cs="Arial"/>
          <w:color w:val="auto"/>
          <w:lang w:eastAsia="en-US"/>
        </w:rPr>
        <w:t xml:space="preserve">2 September 2019. </w:t>
      </w:r>
      <w:r w:rsidR="006F107D">
        <w:rPr>
          <w:rFonts w:eastAsiaTheme="minorHAnsi" w:cs="Arial"/>
          <w:color w:val="auto"/>
          <w:lang w:eastAsia="en-US"/>
        </w:rPr>
        <w:t xml:space="preserve">The proposal was not universally </w:t>
      </w:r>
      <w:proofErr w:type="gramStart"/>
      <w:r w:rsidR="006F107D">
        <w:rPr>
          <w:rFonts w:eastAsiaTheme="minorHAnsi" w:cs="Arial"/>
          <w:color w:val="auto"/>
          <w:lang w:eastAsia="en-US"/>
        </w:rPr>
        <w:t>accepted ,</w:t>
      </w:r>
      <w:proofErr w:type="gramEnd"/>
      <w:r w:rsidR="006F107D">
        <w:rPr>
          <w:rFonts w:eastAsiaTheme="minorHAnsi" w:cs="Arial"/>
          <w:color w:val="auto"/>
          <w:lang w:eastAsia="en-US"/>
        </w:rPr>
        <w:t xml:space="preserve"> with ongoing queries around cost and budget . The </w:t>
      </w:r>
      <w:r w:rsidR="00E17C05">
        <w:rPr>
          <w:rFonts w:eastAsiaTheme="minorHAnsi" w:cs="Arial"/>
          <w:color w:val="auto"/>
          <w:lang w:eastAsia="en-US"/>
        </w:rPr>
        <w:t>R</w:t>
      </w:r>
      <w:r w:rsidR="006F107D">
        <w:rPr>
          <w:rFonts w:eastAsiaTheme="minorHAnsi" w:cs="Arial"/>
          <w:color w:val="auto"/>
          <w:lang w:eastAsia="en-US"/>
        </w:rPr>
        <w:t xml:space="preserve">egeneration and </w:t>
      </w:r>
      <w:r w:rsidR="00E17C05">
        <w:rPr>
          <w:rFonts w:eastAsiaTheme="minorHAnsi" w:cs="Arial"/>
          <w:color w:val="auto"/>
          <w:lang w:eastAsia="en-US"/>
        </w:rPr>
        <w:t>M</w:t>
      </w:r>
      <w:r w:rsidR="006F107D">
        <w:rPr>
          <w:rFonts w:eastAsiaTheme="minorHAnsi" w:cs="Arial"/>
          <w:color w:val="auto"/>
          <w:lang w:eastAsia="en-US"/>
        </w:rPr>
        <w:t xml:space="preserve">ajor </w:t>
      </w:r>
      <w:r w:rsidR="00E17C05">
        <w:rPr>
          <w:rFonts w:eastAsiaTheme="minorHAnsi" w:cs="Arial"/>
          <w:color w:val="auto"/>
          <w:lang w:eastAsia="en-US"/>
        </w:rPr>
        <w:t>P</w:t>
      </w:r>
      <w:r w:rsidR="006F107D">
        <w:rPr>
          <w:rFonts w:eastAsiaTheme="minorHAnsi" w:cs="Arial"/>
          <w:color w:val="auto"/>
          <w:lang w:eastAsia="en-US"/>
        </w:rPr>
        <w:t xml:space="preserve">rojects </w:t>
      </w:r>
      <w:r w:rsidR="00E17C05">
        <w:rPr>
          <w:rFonts w:eastAsiaTheme="minorHAnsi" w:cs="Arial"/>
          <w:color w:val="auto"/>
          <w:lang w:eastAsia="en-US"/>
        </w:rPr>
        <w:t>S</w:t>
      </w:r>
      <w:r w:rsidR="006F107D">
        <w:rPr>
          <w:rFonts w:eastAsiaTheme="minorHAnsi" w:cs="Arial"/>
          <w:color w:val="auto"/>
          <w:lang w:eastAsia="en-US"/>
        </w:rPr>
        <w:t xml:space="preserve">ervice </w:t>
      </w:r>
      <w:r w:rsidR="00E17C05">
        <w:rPr>
          <w:rFonts w:eastAsiaTheme="minorHAnsi" w:cs="Arial"/>
          <w:color w:val="auto"/>
          <w:lang w:eastAsia="en-US"/>
        </w:rPr>
        <w:t>M</w:t>
      </w:r>
      <w:r w:rsidR="006F107D">
        <w:rPr>
          <w:rFonts w:eastAsiaTheme="minorHAnsi" w:cs="Arial"/>
          <w:color w:val="auto"/>
          <w:lang w:eastAsia="en-US"/>
        </w:rPr>
        <w:t xml:space="preserve">anager will need to liaise closely with the Locality Officer, BOLLP and the community to gain </w:t>
      </w:r>
      <w:proofErr w:type="gramStart"/>
      <w:r w:rsidR="006F107D">
        <w:rPr>
          <w:rFonts w:eastAsiaTheme="minorHAnsi" w:cs="Arial"/>
          <w:color w:val="auto"/>
          <w:lang w:eastAsia="en-US"/>
        </w:rPr>
        <w:t>traction .</w:t>
      </w:r>
      <w:proofErr w:type="gramEnd"/>
      <w:r w:rsidR="006F107D">
        <w:rPr>
          <w:rFonts w:eastAsiaTheme="minorHAnsi" w:cs="Arial"/>
          <w:color w:val="auto"/>
          <w:lang w:eastAsia="en-US"/>
        </w:rPr>
        <w:t xml:space="preserve"> </w:t>
      </w:r>
      <w:r w:rsidR="00F74C30">
        <w:rPr>
          <w:rFonts w:eastAsiaTheme="minorHAnsi" w:cs="Arial"/>
          <w:color w:val="auto"/>
          <w:lang w:eastAsia="en-US"/>
        </w:rPr>
        <w:t xml:space="preserve">A meeting is scheduled at Barton Park on 13 September to attempt to gain acceptance of the </w:t>
      </w:r>
      <w:proofErr w:type="gramStart"/>
      <w:r w:rsidR="00F74C30">
        <w:rPr>
          <w:rFonts w:eastAsiaTheme="minorHAnsi" w:cs="Arial"/>
          <w:color w:val="auto"/>
          <w:lang w:eastAsia="en-US"/>
        </w:rPr>
        <w:t>proposal .</w:t>
      </w:r>
      <w:proofErr w:type="gramEnd"/>
      <w:r w:rsidR="00F74C30">
        <w:rPr>
          <w:rFonts w:eastAsiaTheme="minorHAnsi" w:cs="Arial"/>
          <w:color w:val="auto"/>
          <w:lang w:eastAsia="en-US"/>
        </w:rPr>
        <w:t xml:space="preserve"> </w:t>
      </w:r>
    </w:p>
    <w:p w:rsidR="00897801" w:rsidRPr="00897801" w:rsidRDefault="00897801" w:rsidP="00897801">
      <w:pPr>
        <w:spacing w:after="0"/>
        <w:ind w:left="357"/>
        <w:jc w:val="both"/>
        <w:rPr>
          <w:rFonts w:eastAsiaTheme="minorHAnsi" w:cs="Arial"/>
          <w:color w:val="auto"/>
          <w:lang w:eastAsia="en-US"/>
        </w:rPr>
      </w:pPr>
    </w:p>
    <w:p w:rsidR="005E38FD" w:rsidRPr="00575235" w:rsidRDefault="005E38FD" w:rsidP="00D07EAF">
      <w:pPr>
        <w:pStyle w:val="Heading1"/>
      </w:pPr>
      <w:r w:rsidRPr="00575235">
        <w:t xml:space="preserve">Sustainability &amp; Regeneration </w:t>
      </w:r>
    </w:p>
    <w:p w:rsidR="00575235" w:rsidRPr="00D07EAF" w:rsidRDefault="005E38FD" w:rsidP="00D07EAF">
      <w:pPr>
        <w:pStyle w:val="ListParagraph"/>
      </w:pPr>
      <w:r w:rsidRPr="00575235">
        <w:t xml:space="preserve">BOLLP is committed to ensuring contractors and housebuilders working at Barton Park meet key </w:t>
      </w:r>
      <w:r w:rsidRPr="00D07EAF">
        <w:t>employment</w:t>
      </w:r>
      <w:r w:rsidRPr="00575235">
        <w:t xml:space="preserve"> performance indicators set within the Barton Park Co</w:t>
      </w:r>
      <w:r w:rsidR="00BE36E5">
        <w:t xml:space="preserve">mmunity Employment Plan (CEP). </w:t>
      </w:r>
      <w:r w:rsidRPr="00575235">
        <w:t xml:space="preserve">Planned works undertaken by CA Blackwell are now largely complete and </w:t>
      </w:r>
      <w:proofErr w:type="spellStart"/>
      <w:r w:rsidRPr="00575235">
        <w:t>Redrow</w:t>
      </w:r>
      <w:proofErr w:type="spellEnd"/>
      <w:r w:rsidRPr="00575235">
        <w:t xml:space="preserve"> are yet to</w:t>
      </w:r>
      <w:r w:rsidR="00575235">
        <w:t xml:space="preserve"> make a meaningful</w:t>
      </w:r>
      <w:r w:rsidRPr="00575235">
        <w:t xml:space="preserve"> start on site.  The only large scale employer currently on site therefore is</w:t>
      </w:r>
      <w:r w:rsidR="00575235">
        <w:t xml:space="preserve"> Hill</w:t>
      </w:r>
      <w:r w:rsidRPr="00575235">
        <w:t xml:space="preserve">.  </w:t>
      </w:r>
    </w:p>
    <w:p w:rsidR="005E38FD" w:rsidRPr="00575235" w:rsidRDefault="005E38FD" w:rsidP="00D07EAF">
      <w:pPr>
        <w:pStyle w:val="ListParagraph"/>
      </w:pPr>
      <w:r w:rsidRPr="00575235">
        <w:t>Key local employment data whereby the criteria are that employees have an Oxfordshire postcode, provided by Hill for Q1 2019 is as follows:</w:t>
      </w:r>
    </w:p>
    <w:tbl>
      <w:tblPr>
        <w:tblW w:w="7882" w:type="dxa"/>
        <w:tblInd w:w="878" w:type="dxa"/>
        <w:tblBorders>
          <w:top w:val="single" w:sz="8" w:space="0" w:color="FFFFFF"/>
          <w:left w:val="single" w:sz="8" w:space="0" w:color="FFFFFF"/>
          <w:right w:val="single" w:sz="8" w:space="0" w:color="FFFFFF"/>
          <w:insideH w:val="single" w:sz="8" w:space="0" w:color="FFFFFF"/>
          <w:insideV w:val="single" w:sz="8" w:space="0" w:color="FFFFFF" w:themeColor="background1"/>
        </w:tblBorders>
        <w:tblCellMar>
          <w:left w:w="0" w:type="dxa"/>
          <w:right w:w="0" w:type="dxa"/>
        </w:tblCellMar>
        <w:tblLook w:val="04A0" w:firstRow="1" w:lastRow="0" w:firstColumn="1" w:lastColumn="0" w:noHBand="0" w:noVBand="1"/>
      </w:tblPr>
      <w:tblGrid>
        <w:gridCol w:w="1078"/>
        <w:gridCol w:w="1134"/>
        <w:gridCol w:w="1134"/>
        <w:gridCol w:w="1134"/>
        <w:gridCol w:w="1134"/>
        <w:gridCol w:w="1143"/>
        <w:gridCol w:w="1125"/>
      </w:tblGrid>
      <w:tr w:rsidR="005E38FD" w:rsidRPr="00575235" w:rsidTr="00897801">
        <w:trPr>
          <w:trHeight w:val="270"/>
        </w:trPr>
        <w:tc>
          <w:tcPr>
            <w:tcW w:w="1078" w:type="dxa"/>
            <w:shd w:val="clear" w:color="auto" w:fill="0D776E"/>
            <w:tcMar>
              <w:top w:w="0" w:type="dxa"/>
              <w:left w:w="108" w:type="dxa"/>
              <w:bottom w:w="0" w:type="dxa"/>
              <w:right w:w="108" w:type="dxa"/>
            </w:tcMar>
            <w:hideMark/>
          </w:tcPr>
          <w:p w:rsidR="005E38FD" w:rsidRPr="00575235" w:rsidRDefault="005E38FD" w:rsidP="00A849A5">
            <w:pPr>
              <w:spacing w:before="60" w:after="60"/>
              <w:jc w:val="both"/>
              <w:rPr>
                <w:rFonts w:eastAsiaTheme="minorHAnsi" w:cs="Arial"/>
                <w:b/>
                <w:bCs/>
                <w:color w:val="FFFFFF" w:themeColor="background1"/>
                <w:lang w:val="en-US"/>
              </w:rPr>
            </w:pPr>
            <w:r w:rsidRPr="00575235">
              <w:rPr>
                <w:rFonts w:cs="Arial"/>
                <w:color w:val="FFFFFF" w:themeColor="background1"/>
              </w:rPr>
              <w:t>Quarter</w:t>
            </w:r>
          </w:p>
        </w:tc>
        <w:tc>
          <w:tcPr>
            <w:tcW w:w="1134" w:type="dxa"/>
            <w:shd w:val="clear" w:color="auto" w:fill="0D776E"/>
          </w:tcPr>
          <w:p w:rsidR="005E38FD" w:rsidRPr="00575235" w:rsidRDefault="005E38FD" w:rsidP="00A849A5">
            <w:pPr>
              <w:spacing w:before="60" w:after="60"/>
              <w:jc w:val="right"/>
              <w:rPr>
                <w:rFonts w:eastAsiaTheme="minorHAnsi" w:cs="Arial"/>
                <w:b/>
                <w:bCs/>
                <w:color w:val="FFFFFF" w:themeColor="background1"/>
                <w:lang w:val="en-US"/>
              </w:rPr>
            </w:pPr>
            <w:r w:rsidRPr="00575235">
              <w:rPr>
                <w:rFonts w:cs="Arial"/>
                <w:color w:val="FFFFFF" w:themeColor="background1"/>
              </w:rPr>
              <w:t>Total Labour Days</w:t>
            </w:r>
          </w:p>
        </w:tc>
        <w:tc>
          <w:tcPr>
            <w:tcW w:w="1134" w:type="dxa"/>
            <w:shd w:val="clear" w:color="auto" w:fill="0D776E"/>
          </w:tcPr>
          <w:p w:rsidR="005E38FD" w:rsidRPr="00575235" w:rsidRDefault="005E38FD" w:rsidP="00A849A5">
            <w:pPr>
              <w:spacing w:before="60" w:after="60"/>
              <w:jc w:val="right"/>
              <w:rPr>
                <w:rFonts w:cs="Arial"/>
                <w:b/>
                <w:bCs/>
                <w:color w:val="FFFFFF" w:themeColor="background1"/>
                <w:lang w:val="en-US"/>
              </w:rPr>
            </w:pPr>
            <w:r w:rsidRPr="00575235">
              <w:rPr>
                <w:rFonts w:cs="Arial"/>
                <w:color w:val="FFFFFF" w:themeColor="background1"/>
              </w:rPr>
              <w:t>Target Labour Days</w:t>
            </w:r>
          </w:p>
        </w:tc>
        <w:tc>
          <w:tcPr>
            <w:tcW w:w="1134" w:type="dxa"/>
            <w:shd w:val="clear" w:color="auto" w:fill="0D776E"/>
          </w:tcPr>
          <w:p w:rsidR="005E38FD" w:rsidRPr="00575235" w:rsidRDefault="005E38FD" w:rsidP="00A849A5">
            <w:pPr>
              <w:spacing w:before="60" w:after="60"/>
              <w:jc w:val="right"/>
              <w:rPr>
                <w:rFonts w:cs="Arial"/>
                <w:b/>
                <w:bCs/>
                <w:color w:val="FFFFFF" w:themeColor="background1"/>
                <w:lang w:val="en-US"/>
              </w:rPr>
            </w:pPr>
            <w:r w:rsidRPr="00575235">
              <w:rPr>
                <w:rFonts w:cs="Arial"/>
                <w:color w:val="FFFFFF" w:themeColor="background1"/>
              </w:rPr>
              <w:t>Target %</w:t>
            </w:r>
          </w:p>
        </w:tc>
        <w:tc>
          <w:tcPr>
            <w:tcW w:w="1134" w:type="dxa"/>
            <w:shd w:val="clear" w:color="auto" w:fill="0D776E"/>
          </w:tcPr>
          <w:p w:rsidR="005E38FD" w:rsidRPr="00575235" w:rsidRDefault="005E38FD" w:rsidP="00A849A5">
            <w:pPr>
              <w:spacing w:before="60" w:after="60"/>
              <w:jc w:val="right"/>
              <w:rPr>
                <w:rFonts w:cs="Arial"/>
                <w:b/>
                <w:bCs/>
                <w:color w:val="FFFFFF" w:themeColor="background1"/>
                <w:lang w:val="en-US"/>
              </w:rPr>
            </w:pPr>
            <w:r w:rsidRPr="00575235">
              <w:rPr>
                <w:rFonts w:cs="Arial"/>
                <w:color w:val="FFFFFF" w:themeColor="background1"/>
              </w:rPr>
              <w:t>Actual Labour Days</w:t>
            </w:r>
          </w:p>
        </w:tc>
        <w:tc>
          <w:tcPr>
            <w:tcW w:w="1143" w:type="dxa"/>
            <w:shd w:val="clear" w:color="auto" w:fill="0D776E"/>
          </w:tcPr>
          <w:p w:rsidR="005E38FD" w:rsidRPr="00575235" w:rsidRDefault="005E38FD" w:rsidP="00A849A5">
            <w:pPr>
              <w:spacing w:before="60" w:after="60"/>
              <w:jc w:val="right"/>
              <w:rPr>
                <w:rFonts w:cs="Arial"/>
                <w:b/>
                <w:bCs/>
                <w:color w:val="FFFFFF" w:themeColor="background1"/>
                <w:lang w:val="en-US"/>
              </w:rPr>
            </w:pPr>
            <w:r w:rsidRPr="00575235">
              <w:rPr>
                <w:rFonts w:cs="Arial"/>
                <w:color w:val="FFFFFF" w:themeColor="background1"/>
              </w:rPr>
              <w:t>Actual %</w:t>
            </w:r>
          </w:p>
        </w:tc>
        <w:tc>
          <w:tcPr>
            <w:tcW w:w="1125" w:type="dxa"/>
            <w:shd w:val="clear" w:color="auto" w:fill="0D776E"/>
          </w:tcPr>
          <w:p w:rsidR="005E38FD" w:rsidRPr="00575235" w:rsidRDefault="005E38FD" w:rsidP="00A849A5">
            <w:pPr>
              <w:spacing w:before="60" w:after="60"/>
              <w:jc w:val="right"/>
              <w:rPr>
                <w:rFonts w:cs="Arial"/>
                <w:b/>
                <w:bCs/>
                <w:color w:val="FFFFFF" w:themeColor="background1"/>
                <w:lang w:val="en-US"/>
              </w:rPr>
            </w:pPr>
            <w:r w:rsidRPr="00575235">
              <w:rPr>
                <w:rFonts w:cs="Arial"/>
                <w:color w:val="FFFFFF" w:themeColor="background1"/>
              </w:rPr>
              <w:t>% +/- Target</w:t>
            </w:r>
          </w:p>
        </w:tc>
      </w:tr>
      <w:tr w:rsidR="005E38FD" w:rsidRPr="00575235" w:rsidTr="00897801">
        <w:trPr>
          <w:trHeight w:val="270"/>
        </w:trPr>
        <w:tc>
          <w:tcPr>
            <w:tcW w:w="1078" w:type="dxa"/>
            <w:shd w:val="clear" w:color="auto" w:fill="D9D9D9"/>
            <w:tcMar>
              <w:top w:w="0" w:type="dxa"/>
              <w:left w:w="108" w:type="dxa"/>
              <w:bottom w:w="0" w:type="dxa"/>
              <w:right w:w="108" w:type="dxa"/>
            </w:tcMar>
          </w:tcPr>
          <w:p w:rsidR="005E38FD" w:rsidRPr="00575235" w:rsidRDefault="005E38FD" w:rsidP="00A849A5">
            <w:pPr>
              <w:rPr>
                <w:rFonts w:eastAsiaTheme="minorHAnsi" w:cs="Arial"/>
                <w:bCs/>
                <w:lang w:val="en-US"/>
              </w:rPr>
            </w:pPr>
            <w:r w:rsidRPr="00575235">
              <w:rPr>
                <w:rFonts w:cs="Arial"/>
              </w:rPr>
              <w:t>Q4 2018</w:t>
            </w:r>
          </w:p>
        </w:tc>
        <w:tc>
          <w:tcPr>
            <w:tcW w:w="1134" w:type="dxa"/>
            <w:shd w:val="clear" w:color="auto" w:fill="D9D9D9"/>
          </w:tcPr>
          <w:p w:rsidR="005E38FD" w:rsidRPr="00575235" w:rsidRDefault="005E38FD" w:rsidP="00A849A5">
            <w:pPr>
              <w:jc w:val="right"/>
              <w:rPr>
                <w:rFonts w:eastAsiaTheme="minorEastAsia" w:cs="Arial"/>
                <w:lang w:val="en-US"/>
              </w:rPr>
            </w:pPr>
            <w:r w:rsidRPr="00575235">
              <w:rPr>
                <w:rFonts w:cs="Arial"/>
              </w:rPr>
              <w:t>7,540</w:t>
            </w:r>
          </w:p>
        </w:tc>
        <w:tc>
          <w:tcPr>
            <w:tcW w:w="1134" w:type="dxa"/>
            <w:shd w:val="clear" w:color="auto" w:fill="D9D9D9"/>
          </w:tcPr>
          <w:p w:rsidR="005E38FD" w:rsidRPr="00575235" w:rsidRDefault="005E38FD" w:rsidP="00A849A5">
            <w:pPr>
              <w:jc w:val="right"/>
              <w:rPr>
                <w:rFonts w:cs="Arial"/>
              </w:rPr>
            </w:pPr>
            <w:r w:rsidRPr="00575235">
              <w:rPr>
                <w:rFonts w:cs="Arial"/>
              </w:rPr>
              <w:t>754</w:t>
            </w:r>
          </w:p>
        </w:tc>
        <w:tc>
          <w:tcPr>
            <w:tcW w:w="1134" w:type="dxa"/>
            <w:shd w:val="clear" w:color="auto" w:fill="D9D9D9"/>
          </w:tcPr>
          <w:p w:rsidR="005E38FD" w:rsidRPr="00575235" w:rsidRDefault="005E38FD" w:rsidP="00A849A5">
            <w:pPr>
              <w:jc w:val="right"/>
              <w:rPr>
                <w:rFonts w:cs="Arial"/>
              </w:rPr>
            </w:pPr>
            <w:r w:rsidRPr="00575235">
              <w:rPr>
                <w:rFonts w:cs="Arial"/>
              </w:rPr>
              <w:t>10%</w:t>
            </w:r>
          </w:p>
        </w:tc>
        <w:tc>
          <w:tcPr>
            <w:tcW w:w="1134" w:type="dxa"/>
            <w:shd w:val="clear" w:color="auto" w:fill="D9D9D9"/>
          </w:tcPr>
          <w:p w:rsidR="005E38FD" w:rsidRPr="00575235" w:rsidRDefault="005E38FD" w:rsidP="00A849A5">
            <w:pPr>
              <w:jc w:val="right"/>
              <w:rPr>
                <w:rFonts w:eastAsiaTheme="minorEastAsia" w:cs="Arial"/>
                <w:lang w:val="en-US"/>
              </w:rPr>
            </w:pPr>
            <w:r w:rsidRPr="00575235">
              <w:rPr>
                <w:rFonts w:cs="Arial"/>
              </w:rPr>
              <w:t>687</w:t>
            </w:r>
          </w:p>
        </w:tc>
        <w:tc>
          <w:tcPr>
            <w:tcW w:w="1143" w:type="dxa"/>
            <w:shd w:val="clear" w:color="auto" w:fill="D9D9D9"/>
          </w:tcPr>
          <w:p w:rsidR="005E38FD" w:rsidRPr="00575235" w:rsidRDefault="005E38FD" w:rsidP="00A849A5">
            <w:pPr>
              <w:jc w:val="right"/>
              <w:rPr>
                <w:rFonts w:cs="Arial"/>
              </w:rPr>
            </w:pPr>
            <w:r w:rsidRPr="00575235">
              <w:rPr>
                <w:rFonts w:cs="Arial"/>
              </w:rPr>
              <w:t>9%</w:t>
            </w:r>
          </w:p>
        </w:tc>
        <w:tc>
          <w:tcPr>
            <w:tcW w:w="1125" w:type="dxa"/>
            <w:shd w:val="clear" w:color="auto" w:fill="D9D9D9"/>
          </w:tcPr>
          <w:p w:rsidR="005E38FD" w:rsidRPr="00575235" w:rsidRDefault="005E38FD" w:rsidP="00A849A5">
            <w:pPr>
              <w:jc w:val="right"/>
              <w:rPr>
                <w:rFonts w:cs="Arial"/>
              </w:rPr>
            </w:pPr>
            <w:r w:rsidRPr="00575235">
              <w:rPr>
                <w:rFonts w:cs="Arial"/>
              </w:rPr>
              <w:t>-1%</w:t>
            </w:r>
          </w:p>
        </w:tc>
      </w:tr>
      <w:tr w:rsidR="005E38FD" w:rsidRPr="00575235" w:rsidTr="00897801">
        <w:trPr>
          <w:trHeight w:val="270"/>
        </w:trPr>
        <w:tc>
          <w:tcPr>
            <w:tcW w:w="1078" w:type="dxa"/>
            <w:shd w:val="clear" w:color="auto" w:fill="D9D9D9"/>
            <w:tcMar>
              <w:top w:w="0" w:type="dxa"/>
              <w:left w:w="108" w:type="dxa"/>
              <w:bottom w:w="0" w:type="dxa"/>
              <w:right w:w="108" w:type="dxa"/>
            </w:tcMar>
          </w:tcPr>
          <w:p w:rsidR="005E38FD" w:rsidRPr="00575235" w:rsidRDefault="005E38FD" w:rsidP="00A849A5">
            <w:pPr>
              <w:rPr>
                <w:rFonts w:eastAsiaTheme="minorHAnsi" w:cs="Arial"/>
                <w:bCs/>
                <w:lang w:val="en-US"/>
              </w:rPr>
            </w:pPr>
            <w:r w:rsidRPr="00575235">
              <w:rPr>
                <w:rFonts w:cs="Arial"/>
              </w:rPr>
              <w:t>Q1 2019</w:t>
            </w:r>
          </w:p>
        </w:tc>
        <w:tc>
          <w:tcPr>
            <w:tcW w:w="1134" w:type="dxa"/>
            <w:shd w:val="clear" w:color="auto" w:fill="D9D9D9"/>
          </w:tcPr>
          <w:p w:rsidR="005E38FD" w:rsidRPr="00575235" w:rsidRDefault="005E38FD" w:rsidP="00A849A5">
            <w:pPr>
              <w:jc w:val="right"/>
              <w:rPr>
                <w:rFonts w:eastAsiaTheme="minorEastAsia" w:cs="Arial"/>
                <w:lang w:val="en-US"/>
              </w:rPr>
            </w:pPr>
            <w:r w:rsidRPr="00575235">
              <w:rPr>
                <w:rFonts w:cs="Arial"/>
              </w:rPr>
              <w:t>5,241</w:t>
            </w:r>
          </w:p>
        </w:tc>
        <w:tc>
          <w:tcPr>
            <w:tcW w:w="1134" w:type="dxa"/>
            <w:shd w:val="clear" w:color="auto" w:fill="D9D9D9"/>
          </w:tcPr>
          <w:p w:rsidR="005E38FD" w:rsidRPr="00575235" w:rsidRDefault="005E38FD" w:rsidP="00A849A5">
            <w:pPr>
              <w:jc w:val="right"/>
              <w:rPr>
                <w:rFonts w:cs="Arial"/>
              </w:rPr>
            </w:pPr>
            <w:r w:rsidRPr="00575235">
              <w:rPr>
                <w:rFonts w:cs="Arial"/>
              </w:rPr>
              <w:t>524</w:t>
            </w:r>
          </w:p>
        </w:tc>
        <w:tc>
          <w:tcPr>
            <w:tcW w:w="1134" w:type="dxa"/>
            <w:shd w:val="clear" w:color="auto" w:fill="D9D9D9"/>
          </w:tcPr>
          <w:p w:rsidR="005E38FD" w:rsidRPr="00575235" w:rsidRDefault="005E38FD" w:rsidP="00A849A5">
            <w:pPr>
              <w:jc w:val="right"/>
              <w:rPr>
                <w:rFonts w:cs="Arial"/>
              </w:rPr>
            </w:pPr>
            <w:r w:rsidRPr="00575235">
              <w:rPr>
                <w:rFonts w:cs="Arial"/>
              </w:rPr>
              <w:t>10%</w:t>
            </w:r>
          </w:p>
        </w:tc>
        <w:tc>
          <w:tcPr>
            <w:tcW w:w="1134" w:type="dxa"/>
            <w:shd w:val="clear" w:color="auto" w:fill="D9D9D9"/>
          </w:tcPr>
          <w:p w:rsidR="005E38FD" w:rsidRPr="00575235" w:rsidRDefault="005E38FD" w:rsidP="00A849A5">
            <w:pPr>
              <w:jc w:val="right"/>
              <w:rPr>
                <w:rFonts w:eastAsiaTheme="minorEastAsia" w:cs="Arial"/>
                <w:lang w:val="en-US"/>
              </w:rPr>
            </w:pPr>
            <w:r w:rsidRPr="00575235">
              <w:rPr>
                <w:rFonts w:cs="Arial"/>
              </w:rPr>
              <w:t>295</w:t>
            </w:r>
          </w:p>
        </w:tc>
        <w:tc>
          <w:tcPr>
            <w:tcW w:w="1143" w:type="dxa"/>
            <w:shd w:val="clear" w:color="auto" w:fill="D9D9D9"/>
          </w:tcPr>
          <w:p w:rsidR="005E38FD" w:rsidRPr="00575235" w:rsidRDefault="005E38FD" w:rsidP="00A849A5">
            <w:pPr>
              <w:jc w:val="right"/>
              <w:rPr>
                <w:rFonts w:cs="Arial"/>
              </w:rPr>
            </w:pPr>
            <w:r w:rsidRPr="00575235">
              <w:rPr>
                <w:rFonts w:cs="Arial"/>
              </w:rPr>
              <w:t>6%</w:t>
            </w:r>
          </w:p>
        </w:tc>
        <w:tc>
          <w:tcPr>
            <w:tcW w:w="1125" w:type="dxa"/>
            <w:shd w:val="clear" w:color="auto" w:fill="D9D9D9"/>
          </w:tcPr>
          <w:p w:rsidR="005E38FD" w:rsidRPr="00575235" w:rsidRDefault="005E38FD" w:rsidP="00A849A5">
            <w:pPr>
              <w:jc w:val="right"/>
              <w:rPr>
                <w:rFonts w:cs="Arial"/>
              </w:rPr>
            </w:pPr>
            <w:r w:rsidRPr="00575235">
              <w:rPr>
                <w:rFonts w:cs="Arial"/>
              </w:rPr>
              <w:t>-4%</w:t>
            </w:r>
          </w:p>
        </w:tc>
      </w:tr>
    </w:tbl>
    <w:p w:rsidR="005E38FD" w:rsidRDefault="005E38FD" w:rsidP="00897801">
      <w:pPr>
        <w:spacing w:after="0"/>
        <w:jc w:val="both"/>
        <w:rPr>
          <w:rFonts w:cs="Arial"/>
        </w:rPr>
      </w:pPr>
    </w:p>
    <w:p w:rsidR="00D07EAF" w:rsidRDefault="00D07EAF" w:rsidP="00897801">
      <w:pPr>
        <w:spacing w:after="0"/>
        <w:jc w:val="both"/>
        <w:rPr>
          <w:rFonts w:cs="Arial"/>
        </w:rPr>
      </w:pPr>
    </w:p>
    <w:p w:rsidR="00D07EAF" w:rsidRDefault="00D07EAF" w:rsidP="00897801">
      <w:pPr>
        <w:spacing w:after="0"/>
        <w:jc w:val="both"/>
        <w:rPr>
          <w:rFonts w:cs="Arial"/>
        </w:rPr>
      </w:pPr>
    </w:p>
    <w:p w:rsidR="00D07EAF" w:rsidRPr="00575235" w:rsidRDefault="00D07EAF" w:rsidP="00897801">
      <w:pPr>
        <w:spacing w:after="0"/>
        <w:jc w:val="both"/>
        <w:rPr>
          <w:rFonts w:cs="Arial"/>
        </w:rPr>
      </w:pPr>
    </w:p>
    <w:p w:rsidR="005E38FD" w:rsidRPr="00897801" w:rsidRDefault="005E38FD" w:rsidP="00D07EAF">
      <w:pPr>
        <w:pStyle w:val="ListParagraph"/>
      </w:pPr>
      <w:r w:rsidRPr="00897801">
        <w:lastRenderedPageBreak/>
        <w:t xml:space="preserve">Key </w:t>
      </w:r>
      <w:r w:rsidRPr="00D07EAF">
        <w:t>youth</w:t>
      </w:r>
      <w:r w:rsidRPr="00897801">
        <w:t xml:space="preserve"> employment data whereby the criteria are that employees are aged 18-25, provided by H</w:t>
      </w:r>
      <w:r w:rsidR="00F655CC">
        <w:t>ill</w:t>
      </w:r>
      <w:r w:rsidRPr="00897801">
        <w:t xml:space="preserve"> for Q1 2019 is as follows:</w:t>
      </w:r>
    </w:p>
    <w:tbl>
      <w:tblPr>
        <w:tblW w:w="7882" w:type="dxa"/>
        <w:tblInd w:w="768" w:type="dxa"/>
        <w:tblBorders>
          <w:top w:val="single" w:sz="8" w:space="0" w:color="FFFFFF"/>
          <w:left w:val="single" w:sz="8" w:space="0" w:color="FFFFFF"/>
          <w:right w:val="single" w:sz="8" w:space="0" w:color="FFFFFF"/>
          <w:insideH w:val="single" w:sz="8" w:space="0" w:color="FFFFFF"/>
          <w:insideV w:val="single" w:sz="8" w:space="0" w:color="FFFFFF" w:themeColor="background1"/>
        </w:tblBorders>
        <w:tblCellMar>
          <w:left w:w="0" w:type="dxa"/>
          <w:right w:w="0" w:type="dxa"/>
        </w:tblCellMar>
        <w:tblLook w:val="04A0" w:firstRow="1" w:lastRow="0" w:firstColumn="1" w:lastColumn="0" w:noHBand="0" w:noVBand="1"/>
      </w:tblPr>
      <w:tblGrid>
        <w:gridCol w:w="1078"/>
        <w:gridCol w:w="1134"/>
        <w:gridCol w:w="1134"/>
        <w:gridCol w:w="1134"/>
        <w:gridCol w:w="1134"/>
        <w:gridCol w:w="1143"/>
        <w:gridCol w:w="1125"/>
      </w:tblGrid>
      <w:tr w:rsidR="005E38FD" w:rsidRPr="00575235" w:rsidTr="00897801">
        <w:trPr>
          <w:trHeight w:val="270"/>
        </w:trPr>
        <w:tc>
          <w:tcPr>
            <w:tcW w:w="1078" w:type="dxa"/>
            <w:shd w:val="clear" w:color="auto" w:fill="0D776E"/>
            <w:tcMar>
              <w:top w:w="0" w:type="dxa"/>
              <w:left w:w="108" w:type="dxa"/>
              <w:bottom w:w="0" w:type="dxa"/>
              <w:right w:w="108" w:type="dxa"/>
            </w:tcMar>
            <w:hideMark/>
          </w:tcPr>
          <w:p w:rsidR="005E38FD" w:rsidRPr="00575235" w:rsidRDefault="005E38FD" w:rsidP="00A849A5">
            <w:pPr>
              <w:spacing w:before="60" w:after="60"/>
              <w:jc w:val="both"/>
              <w:rPr>
                <w:rFonts w:eastAsiaTheme="minorHAnsi" w:cs="Arial"/>
                <w:b/>
                <w:bCs/>
                <w:color w:val="FFFFFF" w:themeColor="background1"/>
                <w:lang w:val="en-US"/>
              </w:rPr>
            </w:pPr>
            <w:r w:rsidRPr="00575235">
              <w:rPr>
                <w:rFonts w:cs="Arial"/>
                <w:color w:val="FFFFFF" w:themeColor="background1"/>
              </w:rPr>
              <w:t>Quarter</w:t>
            </w:r>
          </w:p>
        </w:tc>
        <w:tc>
          <w:tcPr>
            <w:tcW w:w="1134" w:type="dxa"/>
            <w:shd w:val="clear" w:color="auto" w:fill="0D776E"/>
          </w:tcPr>
          <w:p w:rsidR="005E38FD" w:rsidRPr="00575235" w:rsidRDefault="005E38FD" w:rsidP="00A849A5">
            <w:pPr>
              <w:spacing w:before="60" w:after="60"/>
              <w:jc w:val="right"/>
              <w:rPr>
                <w:rFonts w:eastAsiaTheme="minorHAnsi" w:cs="Arial"/>
                <w:b/>
                <w:bCs/>
                <w:color w:val="FFFFFF" w:themeColor="background1"/>
                <w:lang w:val="en-US"/>
              </w:rPr>
            </w:pPr>
            <w:r w:rsidRPr="00575235">
              <w:rPr>
                <w:rFonts w:cs="Arial"/>
                <w:color w:val="FFFFFF" w:themeColor="background1"/>
              </w:rPr>
              <w:t>Total Labour Days</w:t>
            </w:r>
          </w:p>
        </w:tc>
        <w:tc>
          <w:tcPr>
            <w:tcW w:w="1134" w:type="dxa"/>
            <w:shd w:val="clear" w:color="auto" w:fill="0D776E"/>
          </w:tcPr>
          <w:p w:rsidR="005E38FD" w:rsidRPr="00575235" w:rsidRDefault="005E38FD" w:rsidP="00A849A5">
            <w:pPr>
              <w:spacing w:before="60" w:after="60"/>
              <w:jc w:val="right"/>
              <w:rPr>
                <w:rFonts w:cs="Arial"/>
                <w:b/>
                <w:bCs/>
                <w:color w:val="FFFFFF" w:themeColor="background1"/>
                <w:lang w:val="en-US"/>
              </w:rPr>
            </w:pPr>
            <w:r w:rsidRPr="00575235">
              <w:rPr>
                <w:rFonts w:cs="Arial"/>
                <w:color w:val="FFFFFF" w:themeColor="background1"/>
              </w:rPr>
              <w:t>Target Labour Days</w:t>
            </w:r>
          </w:p>
        </w:tc>
        <w:tc>
          <w:tcPr>
            <w:tcW w:w="1134" w:type="dxa"/>
            <w:shd w:val="clear" w:color="auto" w:fill="0D776E"/>
          </w:tcPr>
          <w:p w:rsidR="005E38FD" w:rsidRPr="00575235" w:rsidRDefault="005E38FD" w:rsidP="00A849A5">
            <w:pPr>
              <w:spacing w:before="60" w:after="60"/>
              <w:jc w:val="right"/>
              <w:rPr>
                <w:rFonts w:cs="Arial"/>
                <w:b/>
                <w:bCs/>
                <w:color w:val="FFFFFF" w:themeColor="background1"/>
                <w:lang w:val="en-US"/>
              </w:rPr>
            </w:pPr>
            <w:r w:rsidRPr="00575235">
              <w:rPr>
                <w:rFonts w:cs="Arial"/>
                <w:color w:val="FFFFFF" w:themeColor="background1"/>
              </w:rPr>
              <w:t>Target %</w:t>
            </w:r>
          </w:p>
        </w:tc>
        <w:tc>
          <w:tcPr>
            <w:tcW w:w="1134" w:type="dxa"/>
            <w:shd w:val="clear" w:color="auto" w:fill="0D776E"/>
          </w:tcPr>
          <w:p w:rsidR="005E38FD" w:rsidRPr="00575235" w:rsidRDefault="005E38FD" w:rsidP="00A849A5">
            <w:pPr>
              <w:spacing w:before="60" w:after="60"/>
              <w:jc w:val="right"/>
              <w:rPr>
                <w:rFonts w:cs="Arial"/>
                <w:b/>
                <w:bCs/>
                <w:color w:val="FFFFFF" w:themeColor="background1"/>
                <w:lang w:val="en-US"/>
              </w:rPr>
            </w:pPr>
            <w:r w:rsidRPr="00575235">
              <w:rPr>
                <w:rFonts w:cs="Arial"/>
                <w:color w:val="FFFFFF" w:themeColor="background1"/>
              </w:rPr>
              <w:t>Actual Labour Days</w:t>
            </w:r>
          </w:p>
        </w:tc>
        <w:tc>
          <w:tcPr>
            <w:tcW w:w="1143" w:type="dxa"/>
            <w:shd w:val="clear" w:color="auto" w:fill="0D776E"/>
          </w:tcPr>
          <w:p w:rsidR="005E38FD" w:rsidRPr="00575235" w:rsidRDefault="005E38FD" w:rsidP="00A849A5">
            <w:pPr>
              <w:spacing w:before="60" w:after="60"/>
              <w:jc w:val="right"/>
              <w:rPr>
                <w:rFonts w:cs="Arial"/>
                <w:b/>
                <w:bCs/>
                <w:color w:val="FFFFFF" w:themeColor="background1"/>
                <w:lang w:val="en-US"/>
              </w:rPr>
            </w:pPr>
            <w:r w:rsidRPr="00575235">
              <w:rPr>
                <w:rFonts w:cs="Arial"/>
                <w:color w:val="FFFFFF" w:themeColor="background1"/>
              </w:rPr>
              <w:t>Actual %</w:t>
            </w:r>
          </w:p>
        </w:tc>
        <w:tc>
          <w:tcPr>
            <w:tcW w:w="1125" w:type="dxa"/>
            <w:shd w:val="clear" w:color="auto" w:fill="0D776E"/>
          </w:tcPr>
          <w:p w:rsidR="005E38FD" w:rsidRPr="00575235" w:rsidRDefault="005E38FD" w:rsidP="00A849A5">
            <w:pPr>
              <w:spacing w:before="60" w:after="60"/>
              <w:jc w:val="right"/>
              <w:rPr>
                <w:rFonts w:cs="Arial"/>
                <w:b/>
                <w:bCs/>
                <w:color w:val="FFFFFF" w:themeColor="background1"/>
                <w:lang w:val="en-US"/>
              </w:rPr>
            </w:pPr>
            <w:r w:rsidRPr="00575235">
              <w:rPr>
                <w:rFonts w:cs="Arial"/>
                <w:color w:val="FFFFFF" w:themeColor="background1"/>
              </w:rPr>
              <w:t>% +/- Target</w:t>
            </w:r>
          </w:p>
        </w:tc>
      </w:tr>
      <w:tr w:rsidR="005E38FD" w:rsidRPr="00575235" w:rsidTr="00897801">
        <w:trPr>
          <w:trHeight w:val="270"/>
        </w:trPr>
        <w:tc>
          <w:tcPr>
            <w:tcW w:w="1078" w:type="dxa"/>
            <w:shd w:val="clear" w:color="auto" w:fill="D9D9D9"/>
            <w:tcMar>
              <w:top w:w="0" w:type="dxa"/>
              <w:left w:w="108" w:type="dxa"/>
              <w:bottom w:w="0" w:type="dxa"/>
              <w:right w:w="108" w:type="dxa"/>
            </w:tcMar>
          </w:tcPr>
          <w:p w:rsidR="005E38FD" w:rsidRPr="00575235" w:rsidRDefault="005E38FD" w:rsidP="00A849A5">
            <w:pPr>
              <w:rPr>
                <w:rFonts w:eastAsiaTheme="minorHAnsi" w:cs="Arial"/>
                <w:bCs/>
                <w:lang w:val="en-US"/>
              </w:rPr>
            </w:pPr>
            <w:r w:rsidRPr="00575235">
              <w:rPr>
                <w:rFonts w:cs="Arial"/>
              </w:rPr>
              <w:t>Q4 2018</w:t>
            </w:r>
          </w:p>
        </w:tc>
        <w:tc>
          <w:tcPr>
            <w:tcW w:w="1134" w:type="dxa"/>
            <w:shd w:val="clear" w:color="auto" w:fill="D9D9D9"/>
          </w:tcPr>
          <w:p w:rsidR="005E38FD" w:rsidRPr="00575235" w:rsidRDefault="005E38FD" w:rsidP="00A849A5">
            <w:pPr>
              <w:jc w:val="right"/>
              <w:rPr>
                <w:rFonts w:eastAsiaTheme="minorEastAsia" w:cs="Arial"/>
                <w:lang w:val="en-US"/>
              </w:rPr>
            </w:pPr>
            <w:r w:rsidRPr="00575235">
              <w:rPr>
                <w:rFonts w:cs="Arial"/>
              </w:rPr>
              <w:t>7,540</w:t>
            </w:r>
          </w:p>
        </w:tc>
        <w:tc>
          <w:tcPr>
            <w:tcW w:w="1134" w:type="dxa"/>
            <w:shd w:val="clear" w:color="auto" w:fill="D9D9D9"/>
          </w:tcPr>
          <w:p w:rsidR="005E38FD" w:rsidRPr="00575235" w:rsidRDefault="005E38FD" w:rsidP="00A849A5">
            <w:pPr>
              <w:jc w:val="right"/>
              <w:rPr>
                <w:rFonts w:cs="Arial"/>
              </w:rPr>
            </w:pPr>
            <w:r w:rsidRPr="00575235">
              <w:rPr>
                <w:rFonts w:cs="Arial"/>
              </w:rPr>
              <w:t>1,508</w:t>
            </w:r>
          </w:p>
        </w:tc>
        <w:tc>
          <w:tcPr>
            <w:tcW w:w="1134" w:type="dxa"/>
            <w:shd w:val="clear" w:color="auto" w:fill="D9D9D9"/>
          </w:tcPr>
          <w:p w:rsidR="005E38FD" w:rsidRPr="00575235" w:rsidRDefault="005E38FD" w:rsidP="00A849A5">
            <w:pPr>
              <w:jc w:val="right"/>
              <w:rPr>
                <w:rFonts w:cs="Arial"/>
              </w:rPr>
            </w:pPr>
            <w:r w:rsidRPr="00575235">
              <w:rPr>
                <w:rFonts w:cs="Arial"/>
              </w:rPr>
              <w:t>20%</w:t>
            </w:r>
          </w:p>
        </w:tc>
        <w:tc>
          <w:tcPr>
            <w:tcW w:w="1134" w:type="dxa"/>
            <w:shd w:val="clear" w:color="auto" w:fill="D9D9D9"/>
          </w:tcPr>
          <w:p w:rsidR="005E38FD" w:rsidRPr="00575235" w:rsidRDefault="005E38FD" w:rsidP="00A849A5">
            <w:pPr>
              <w:jc w:val="right"/>
              <w:rPr>
                <w:rFonts w:eastAsiaTheme="minorEastAsia" w:cs="Arial"/>
                <w:lang w:val="en-US"/>
              </w:rPr>
            </w:pPr>
            <w:r w:rsidRPr="00575235">
              <w:rPr>
                <w:rFonts w:cs="Arial"/>
              </w:rPr>
              <w:t>630</w:t>
            </w:r>
          </w:p>
        </w:tc>
        <w:tc>
          <w:tcPr>
            <w:tcW w:w="1143" w:type="dxa"/>
            <w:shd w:val="clear" w:color="auto" w:fill="D9D9D9"/>
          </w:tcPr>
          <w:p w:rsidR="005E38FD" w:rsidRPr="00575235" w:rsidRDefault="005E38FD" w:rsidP="00A849A5">
            <w:pPr>
              <w:jc w:val="right"/>
              <w:rPr>
                <w:rFonts w:cs="Arial"/>
              </w:rPr>
            </w:pPr>
            <w:r w:rsidRPr="00575235">
              <w:rPr>
                <w:rFonts w:cs="Arial"/>
              </w:rPr>
              <w:t>8%</w:t>
            </w:r>
          </w:p>
        </w:tc>
        <w:tc>
          <w:tcPr>
            <w:tcW w:w="1125" w:type="dxa"/>
            <w:shd w:val="clear" w:color="auto" w:fill="D9D9D9"/>
          </w:tcPr>
          <w:p w:rsidR="005E38FD" w:rsidRPr="00575235" w:rsidRDefault="005E38FD" w:rsidP="00A849A5">
            <w:pPr>
              <w:jc w:val="right"/>
              <w:rPr>
                <w:rFonts w:cs="Arial"/>
              </w:rPr>
            </w:pPr>
            <w:r w:rsidRPr="00575235">
              <w:rPr>
                <w:rFonts w:cs="Arial"/>
              </w:rPr>
              <w:t>-12%</w:t>
            </w:r>
          </w:p>
        </w:tc>
      </w:tr>
      <w:tr w:rsidR="005E38FD" w:rsidRPr="00575235" w:rsidTr="00897801">
        <w:trPr>
          <w:trHeight w:val="270"/>
        </w:trPr>
        <w:tc>
          <w:tcPr>
            <w:tcW w:w="1078" w:type="dxa"/>
            <w:shd w:val="clear" w:color="auto" w:fill="D9D9D9"/>
            <w:tcMar>
              <w:top w:w="0" w:type="dxa"/>
              <w:left w:w="108" w:type="dxa"/>
              <w:bottom w:w="0" w:type="dxa"/>
              <w:right w:w="108" w:type="dxa"/>
            </w:tcMar>
          </w:tcPr>
          <w:p w:rsidR="005E38FD" w:rsidRPr="00575235" w:rsidRDefault="005E38FD" w:rsidP="00A849A5">
            <w:pPr>
              <w:rPr>
                <w:rFonts w:eastAsiaTheme="minorHAnsi" w:cs="Arial"/>
                <w:bCs/>
                <w:lang w:val="en-US"/>
              </w:rPr>
            </w:pPr>
            <w:r w:rsidRPr="00575235">
              <w:rPr>
                <w:rFonts w:cs="Arial"/>
              </w:rPr>
              <w:t>Q1 2019</w:t>
            </w:r>
          </w:p>
        </w:tc>
        <w:tc>
          <w:tcPr>
            <w:tcW w:w="1134" w:type="dxa"/>
            <w:shd w:val="clear" w:color="auto" w:fill="D9D9D9"/>
          </w:tcPr>
          <w:p w:rsidR="005E38FD" w:rsidRPr="00575235" w:rsidRDefault="005E38FD" w:rsidP="00A849A5">
            <w:pPr>
              <w:jc w:val="right"/>
              <w:rPr>
                <w:rFonts w:eastAsiaTheme="minorEastAsia" w:cs="Arial"/>
                <w:lang w:val="en-US"/>
              </w:rPr>
            </w:pPr>
            <w:r w:rsidRPr="00575235">
              <w:rPr>
                <w:rFonts w:cs="Arial"/>
              </w:rPr>
              <w:t>5,241</w:t>
            </w:r>
          </w:p>
        </w:tc>
        <w:tc>
          <w:tcPr>
            <w:tcW w:w="1134" w:type="dxa"/>
            <w:shd w:val="clear" w:color="auto" w:fill="D9D9D9"/>
          </w:tcPr>
          <w:p w:rsidR="005E38FD" w:rsidRPr="00575235" w:rsidRDefault="005E38FD" w:rsidP="00A849A5">
            <w:pPr>
              <w:jc w:val="right"/>
              <w:rPr>
                <w:rFonts w:cs="Arial"/>
              </w:rPr>
            </w:pPr>
            <w:r w:rsidRPr="00575235">
              <w:rPr>
                <w:rFonts w:cs="Arial"/>
              </w:rPr>
              <w:t>1,048</w:t>
            </w:r>
          </w:p>
        </w:tc>
        <w:tc>
          <w:tcPr>
            <w:tcW w:w="1134" w:type="dxa"/>
            <w:shd w:val="clear" w:color="auto" w:fill="D9D9D9"/>
          </w:tcPr>
          <w:p w:rsidR="005E38FD" w:rsidRPr="00575235" w:rsidRDefault="005E38FD" w:rsidP="00A849A5">
            <w:pPr>
              <w:jc w:val="right"/>
              <w:rPr>
                <w:rFonts w:cs="Arial"/>
              </w:rPr>
            </w:pPr>
            <w:r w:rsidRPr="00575235">
              <w:rPr>
                <w:rFonts w:cs="Arial"/>
              </w:rPr>
              <w:t>20%</w:t>
            </w:r>
          </w:p>
        </w:tc>
        <w:tc>
          <w:tcPr>
            <w:tcW w:w="1134" w:type="dxa"/>
            <w:shd w:val="clear" w:color="auto" w:fill="D9D9D9"/>
          </w:tcPr>
          <w:p w:rsidR="005E38FD" w:rsidRPr="00575235" w:rsidRDefault="005E38FD" w:rsidP="00A849A5">
            <w:pPr>
              <w:jc w:val="right"/>
              <w:rPr>
                <w:rFonts w:eastAsiaTheme="minorEastAsia" w:cs="Arial"/>
                <w:lang w:val="en-US"/>
              </w:rPr>
            </w:pPr>
            <w:r w:rsidRPr="00575235">
              <w:rPr>
                <w:rFonts w:cs="Arial"/>
              </w:rPr>
              <w:t>278</w:t>
            </w:r>
          </w:p>
        </w:tc>
        <w:tc>
          <w:tcPr>
            <w:tcW w:w="1143" w:type="dxa"/>
            <w:shd w:val="clear" w:color="auto" w:fill="D9D9D9"/>
          </w:tcPr>
          <w:p w:rsidR="005E38FD" w:rsidRPr="00575235" w:rsidRDefault="005E38FD" w:rsidP="00A849A5">
            <w:pPr>
              <w:jc w:val="right"/>
              <w:rPr>
                <w:rFonts w:cs="Arial"/>
              </w:rPr>
            </w:pPr>
            <w:r w:rsidRPr="00575235">
              <w:rPr>
                <w:rFonts w:cs="Arial"/>
              </w:rPr>
              <w:t>5%</w:t>
            </w:r>
          </w:p>
        </w:tc>
        <w:tc>
          <w:tcPr>
            <w:tcW w:w="1125" w:type="dxa"/>
            <w:shd w:val="clear" w:color="auto" w:fill="D9D9D9"/>
          </w:tcPr>
          <w:p w:rsidR="005E38FD" w:rsidRPr="00575235" w:rsidRDefault="005E38FD" w:rsidP="00A849A5">
            <w:pPr>
              <w:jc w:val="right"/>
              <w:rPr>
                <w:rFonts w:cs="Arial"/>
              </w:rPr>
            </w:pPr>
            <w:r w:rsidRPr="00575235">
              <w:rPr>
                <w:rFonts w:cs="Arial"/>
              </w:rPr>
              <w:t>-15%</w:t>
            </w:r>
          </w:p>
        </w:tc>
      </w:tr>
    </w:tbl>
    <w:p w:rsidR="00575235" w:rsidRDefault="00575235" w:rsidP="00897801">
      <w:pPr>
        <w:spacing w:after="0"/>
        <w:ind w:left="425"/>
        <w:jc w:val="both"/>
        <w:rPr>
          <w:rFonts w:cs="Arial"/>
        </w:rPr>
      </w:pPr>
    </w:p>
    <w:p w:rsidR="00D07EAF" w:rsidRDefault="00D07EAF" w:rsidP="00897801">
      <w:pPr>
        <w:spacing w:after="0"/>
        <w:ind w:left="425"/>
        <w:jc w:val="both"/>
        <w:rPr>
          <w:rFonts w:cs="Arial"/>
        </w:rPr>
      </w:pPr>
    </w:p>
    <w:p w:rsidR="005E38FD" w:rsidRPr="00462D8A" w:rsidRDefault="005E38FD" w:rsidP="00D07EAF">
      <w:pPr>
        <w:pStyle w:val="ListParagraph"/>
      </w:pPr>
      <w:r w:rsidRPr="00462D8A">
        <w:t>It is apparent that the percentages achieved by H</w:t>
      </w:r>
      <w:r w:rsidR="00F655CC">
        <w:t xml:space="preserve">ill </w:t>
      </w:r>
      <w:r w:rsidRPr="00462D8A">
        <w:t xml:space="preserve">are below CEP requirements.  This is something BOLLP will raise with </w:t>
      </w:r>
      <w:r w:rsidR="00F655CC">
        <w:t>Hill</w:t>
      </w:r>
      <w:r w:rsidRPr="00462D8A">
        <w:t xml:space="preserve"> to better understand the challenges facing </w:t>
      </w:r>
      <w:r w:rsidR="00F655CC">
        <w:t xml:space="preserve">them </w:t>
      </w:r>
      <w:r w:rsidR="00BE36E5" w:rsidRPr="00462D8A">
        <w:t xml:space="preserve">in achieving these targets. </w:t>
      </w:r>
      <w:r w:rsidRPr="00462D8A">
        <w:t xml:space="preserve">In addition, </w:t>
      </w:r>
      <w:proofErr w:type="spellStart"/>
      <w:r w:rsidRPr="00462D8A">
        <w:t>R</w:t>
      </w:r>
      <w:r w:rsidR="00F655CC">
        <w:t>edrow</w:t>
      </w:r>
      <w:proofErr w:type="spellEnd"/>
      <w:r w:rsidR="00F655CC">
        <w:t xml:space="preserve"> </w:t>
      </w:r>
      <w:r w:rsidRPr="00462D8A">
        <w:t>are due to start on site imminently as</w:t>
      </w:r>
      <w:r w:rsidR="002A2D09" w:rsidRPr="00462D8A">
        <w:t xml:space="preserve"> are </w:t>
      </w:r>
      <w:proofErr w:type="spellStart"/>
      <w:r w:rsidR="002A2D09" w:rsidRPr="00462D8A">
        <w:t>Bowmer</w:t>
      </w:r>
      <w:proofErr w:type="spellEnd"/>
      <w:r w:rsidR="002A2D09" w:rsidRPr="00462D8A">
        <w:t xml:space="preserve"> </w:t>
      </w:r>
      <w:r w:rsidRPr="00462D8A">
        <w:t xml:space="preserve">and Kirkland, </w:t>
      </w:r>
      <w:r w:rsidR="00462D8A" w:rsidRPr="00462D8A">
        <w:t xml:space="preserve">Oxfordshire </w:t>
      </w:r>
      <w:r w:rsidRPr="00462D8A">
        <w:t>County</w:t>
      </w:r>
      <w:r w:rsidR="00462D8A" w:rsidRPr="00462D8A">
        <w:t xml:space="preserve"> Council</w:t>
      </w:r>
      <w:r w:rsidRPr="00462D8A">
        <w:t>’s contractor responsible for delivery of the school.  BOLLP will ensure in both cases that the organisations are aware of the CEP targets and are working toward achieving the desired outcomes.</w:t>
      </w:r>
    </w:p>
    <w:p w:rsidR="00EE1528" w:rsidRPr="00462D8A" w:rsidRDefault="005E38FD" w:rsidP="00D07EAF">
      <w:pPr>
        <w:pStyle w:val="ListParagraph"/>
      </w:pPr>
      <w:r w:rsidRPr="00462D8A">
        <w:t>There is a wider suite of measures included in the CEP and BOLLP has agreed that these will be shared at the next Board Meeting and will also be presented to the</w:t>
      </w:r>
      <w:r w:rsidR="00177246" w:rsidRPr="00462D8A">
        <w:t xml:space="preserve"> Shareholder and Joint Venture Group</w:t>
      </w:r>
      <w:r w:rsidR="00EE1528" w:rsidRPr="00462D8A">
        <w:t>. The measures include school vi</w:t>
      </w:r>
      <w:r w:rsidR="007367F6" w:rsidRPr="00462D8A">
        <w:t>sits and training opportunities, apprenticeships etc</w:t>
      </w:r>
      <w:r w:rsidR="00EE1528" w:rsidRPr="00462D8A">
        <w:t>.</w:t>
      </w:r>
    </w:p>
    <w:p w:rsidR="00AF1F30" w:rsidRPr="00462D8A" w:rsidRDefault="00EE1528" w:rsidP="00D07EAF">
      <w:pPr>
        <w:pStyle w:val="ListParagraph"/>
      </w:pPr>
      <w:r w:rsidRPr="00462D8A">
        <w:t>A relatively low unemployment</w:t>
      </w:r>
      <w:r w:rsidR="007367F6" w:rsidRPr="00462D8A">
        <w:t xml:space="preserve"> rate in the City coupled with wide </w:t>
      </w:r>
      <w:r w:rsidRPr="00462D8A">
        <w:t>construction empl</w:t>
      </w:r>
      <w:r w:rsidR="007367F6" w:rsidRPr="00462D8A">
        <w:t>oyment opportunities regionally</w:t>
      </w:r>
      <w:r w:rsidRPr="00462D8A">
        <w:t>,</w:t>
      </w:r>
      <w:r w:rsidR="007367F6" w:rsidRPr="00462D8A">
        <w:t xml:space="preserve"> </w:t>
      </w:r>
      <w:r w:rsidR="002A2D09" w:rsidRPr="00462D8A">
        <w:t xml:space="preserve">mean that local </w:t>
      </w:r>
      <w:r w:rsidRPr="00462D8A">
        <w:t xml:space="preserve">trade employees are difficult </w:t>
      </w:r>
      <w:r w:rsidR="007367F6" w:rsidRPr="00462D8A">
        <w:t>to recruit</w:t>
      </w:r>
      <w:r w:rsidRPr="00462D8A">
        <w:t>. It is suggested that the C</w:t>
      </w:r>
      <w:r w:rsidR="007367F6" w:rsidRPr="00462D8A">
        <w:t>ity Council with</w:t>
      </w:r>
      <w:r w:rsidR="0073257B">
        <w:t xml:space="preserve"> Oxford Direct Services Limited and the Housing Companies </w:t>
      </w:r>
      <w:r w:rsidRPr="00462D8A">
        <w:t>m</w:t>
      </w:r>
      <w:r w:rsidR="0073257B">
        <w:t>ay be a</w:t>
      </w:r>
      <w:r w:rsidRPr="00462D8A">
        <w:t>ble to support a programme of apprentice</w:t>
      </w:r>
      <w:r w:rsidR="007367F6" w:rsidRPr="00462D8A">
        <w:t>ships on a revolving site basis</w:t>
      </w:r>
      <w:r w:rsidRPr="00462D8A">
        <w:t>. This will be discussed with t</w:t>
      </w:r>
      <w:r w:rsidR="00575235" w:rsidRPr="00462D8A">
        <w:t xml:space="preserve">he </w:t>
      </w:r>
      <w:r w:rsidR="00177246" w:rsidRPr="00462D8A">
        <w:t xml:space="preserve">Council’s </w:t>
      </w:r>
      <w:r w:rsidR="00575235" w:rsidRPr="00462D8A">
        <w:t>Economic Development Officer</w:t>
      </w:r>
      <w:r w:rsidRPr="00462D8A">
        <w:t>.</w:t>
      </w:r>
    </w:p>
    <w:p w:rsidR="00AF1F30" w:rsidRDefault="00AF1F30" w:rsidP="00D07EAF">
      <w:pPr>
        <w:pStyle w:val="Heading1"/>
      </w:pPr>
      <w:r>
        <w:t xml:space="preserve">Environmental Matters  </w:t>
      </w:r>
    </w:p>
    <w:p w:rsidR="00AF1F30" w:rsidRPr="00BE36E5" w:rsidRDefault="00AF1F30" w:rsidP="00D07EAF">
      <w:pPr>
        <w:pStyle w:val="ListParagraph"/>
      </w:pPr>
      <w:r w:rsidRPr="00BE36E5">
        <w:t>As mitigation for loss of a small area of protected grass land BOLLP has agreed to support grassland own</w:t>
      </w:r>
      <w:r w:rsidR="00BE36E5" w:rsidRPr="00BE36E5">
        <w:t>ed by Oxford Preservation Trust</w:t>
      </w:r>
      <w:r w:rsidR="00BE36E5">
        <w:t xml:space="preserve">. </w:t>
      </w:r>
      <w:r w:rsidRPr="00BE36E5">
        <w:t>The agreement includes supp</w:t>
      </w:r>
      <w:r w:rsidR="00BE36E5" w:rsidRPr="00BE36E5">
        <w:t xml:space="preserve">orting clearance and dredging. </w:t>
      </w:r>
      <w:r w:rsidRPr="00BE36E5">
        <w:t>Preparation is now complet</w:t>
      </w:r>
      <w:r w:rsidR="00BE36E5">
        <w:t xml:space="preserve">e for BOLLP to commence </w:t>
      </w:r>
      <w:r w:rsidR="00BE36E5" w:rsidRPr="00D07EAF">
        <w:t>works</w:t>
      </w:r>
      <w:r w:rsidR="00BE36E5">
        <w:t xml:space="preserve">. </w:t>
      </w:r>
      <w:r w:rsidRPr="00BE36E5">
        <w:t>The works are designed to enhance the site and comprise the dredging of existing drainage runs, installation of new drainage runs and installation of fe</w:t>
      </w:r>
      <w:r w:rsidR="00BE36E5" w:rsidRPr="00BE36E5">
        <w:t xml:space="preserve">ncing where required. </w:t>
      </w:r>
      <w:r w:rsidRPr="00BE36E5">
        <w:t>Completion of dredging and fencing works will mark the completion of BOLLP works at Marston Hamm.</w:t>
      </w:r>
    </w:p>
    <w:p w:rsidR="00D664D2" w:rsidRPr="00BE36E5" w:rsidRDefault="00D664D2" w:rsidP="00D07EAF">
      <w:pPr>
        <w:pStyle w:val="Heading1"/>
      </w:pPr>
      <w:r w:rsidRPr="00BE36E5">
        <w:t>Bus Link / Northway link opening</w:t>
      </w:r>
    </w:p>
    <w:p w:rsidR="00D664D2" w:rsidRPr="00BE36E5" w:rsidRDefault="00BE36E5" w:rsidP="00D07EAF">
      <w:pPr>
        <w:pStyle w:val="ListParagraph"/>
      </w:pPr>
      <w:r w:rsidRPr="00BE36E5">
        <w:t xml:space="preserve">An update is awaited </w:t>
      </w:r>
      <w:r w:rsidR="00D664D2" w:rsidRPr="00BE36E5">
        <w:t xml:space="preserve">from </w:t>
      </w:r>
      <w:r w:rsidR="00177246">
        <w:t xml:space="preserve">Oxfordshire </w:t>
      </w:r>
      <w:r w:rsidR="00D664D2" w:rsidRPr="00BE36E5">
        <w:t xml:space="preserve">County </w:t>
      </w:r>
      <w:r w:rsidR="00177246" w:rsidRPr="00D07EAF">
        <w:t>Council</w:t>
      </w:r>
      <w:r w:rsidR="00177246">
        <w:t xml:space="preserve"> </w:t>
      </w:r>
      <w:r w:rsidR="00D664D2" w:rsidRPr="00BE36E5">
        <w:t>on the tendering of the bus route, the</w:t>
      </w:r>
      <w:r>
        <w:t xml:space="preserve">y had not progressed this when last contacted. After a couple of items are </w:t>
      </w:r>
      <w:r w:rsidR="00D664D2" w:rsidRPr="00BE36E5">
        <w:t>repl</w:t>
      </w:r>
      <w:r>
        <w:t>aced on the junction which are due to happen imminently</w:t>
      </w:r>
      <w:r w:rsidR="00D664D2" w:rsidRPr="00BE36E5">
        <w:t xml:space="preserve">, </w:t>
      </w:r>
      <w:r w:rsidR="00177246">
        <w:t xml:space="preserve">Oxfordshire </w:t>
      </w:r>
      <w:r w:rsidR="00D664D2" w:rsidRPr="00BE36E5">
        <w:t>County</w:t>
      </w:r>
      <w:r w:rsidR="00177246">
        <w:t xml:space="preserve"> Council </w:t>
      </w:r>
      <w:r w:rsidR="00D664D2" w:rsidRPr="00BE36E5">
        <w:t xml:space="preserve">will consider the works to be complete and so BOLLP can complete the Stage 3 Road Safety Audit and the bus </w:t>
      </w:r>
      <w:r>
        <w:t xml:space="preserve">link to Northway can be opened. This is </w:t>
      </w:r>
      <w:r w:rsidR="00D664D2" w:rsidRPr="00BE36E5">
        <w:t>expected to occur in late September</w:t>
      </w:r>
      <w:r w:rsidR="001C3084">
        <w:t xml:space="preserve"> </w:t>
      </w:r>
      <w:r w:rsidR="00D664D2" w:rsidRPr="00BE36E5">
        <w:t>/</w:t>
      </w:r>
      <w:r w:rsidR="001C3084">
        <w:t xml:space="preserve"> </w:t>
      </w:r>
      <w:r w:rsidR="00D664D2" w:rsidRPr="00BE36E5">
        <w:t>October</w:t>
      </w:r>
      <w:r w:rsidR="00177246">
        <w:t>2019</w:t>
      </w:r>
      <w:r w:rsidR="00D664D2" w:rsidRPr="00BE36E5">
        <w:t>.</w:t>
      </w:r>
    </w:p>
    <w:p w:rsidR="00575235" w:rsidRDefault="00575235" w:rsidP="00897801">
      <w:pPr>
        <w:spacing w:after="0"/>
        <w:jc w:val="both"/>
        <w:rPr>
          <w:rFonts w:cs="Arial"/>
        </w:rPr>
      </w:pPr>
    </w:p>
    <w:p w:rsidR="00D07EAF" w:rsidRPr="00575235" w:rsidRDefault="00D07EAF" w:rsidP="00897801">
      <w:pPr>
        <w:spacing w:after="0"/>
        <w:jc w:val="both"/>
        <w:rPr>
          <w:rFonts w:cs="Arial"/>
        </w:rPr>
      </w:pPr>
    </w:p>
    <w:p w:rsidR="005C7E85" w:rsidRPr="00575235" w:rsidRDefault="005C7E85" w:rsidP="00D07EAF">
      <w:pPr>
        <w:pStyle w:val="Heading1"/>
        <w:rPr>
          <w:rFonts w:eastAsiaTheme="minorHAnsi"/>
          <w:lang w:eastAsia="en-US"/>
        </w:rPr>
      </w:pPr>
      <w:r w:rsidRPr="00575235">
        <w:rPr>
          <w:rFonts w:eastAsiaTheme="minorHAnsi"/>
          <w:lang w:eastAsia="en-US"/>
        </w:rPr>
        <w:lastRenderedPageBreak/>
        <w:t>Financial Im</w:t>
      </w:r>
      <w:bookmarkStart w:id="0" w:name="_GoBack"/>
      <w:bookmarkEnd w:id="0"/>
      <w:r w:rsidRPr="00575235">
        <w:rPr>
          <w:rFonts w:eastAsiaTheme="minorHAnsi"/>
          <w:lang w:eastAsia="en-US"/>
        </w:rPr>
        <w:t xml:space="preserve">plications   </w:t>
      </w:r>
    </w:p>
    <w:p w:rsidR="00283B69" w:rsidRPr="00575235" w:rsidRDefault="00283B69" w:rsidP="00D07EAF">
      <w:pPr>
        <w:pStyle w:val="ListParagraph"/>
        <w:rPr>
          <w:rFonts w:eastAsiaTheme="minorHAnsi"/>
          <w:lang w:eastAsia="en-US"/>
        </w:rPr>
      </w:pPr>
      <w:r w:rsidRPr="00575235">
        <w:rPr>
          <w:rFonts w:eastAsiaTheme="minorHAnsi"/>
          <w:lang w:eastAsia="en-US"/>
        </w:rPr>
        <w:t xml:space="preserve">Changes to the scheme appraisal are contained in </w:t>
      </w:r>
      <w:r w:rsidR="004F4A56">
        <w:rPr>
          <w:rFonts w:eastAsiaTheme="minorHAnsi"/>
          <w:lang w:eastAsia="en-US"/>
        </w:rPr>
        <w:t>A</w:t>
      </w:r>
      <w:r w:rsidR="004F4A56" w:rsidRPr="00575235">
        <w:rPr>
          <w:rFonts w:eastAsiaTheme="minorHAnsi"/>
          <w:lang w:eastAsia="en-US"/>
        </w:rPr>
        <w:t>ppendix</w:t>
      </w:r>
      <w:r w:rsidR="004F4A56">
        <w:rPr>
          <w:rFonts w:eastAsiaTheme="minorHAnsi"/>
          <w:lang w:eastAsia="en-US"/>
        </w:rPr>
        <w:t xml:space="preserve"> 1</w:t>
      </w:r>
      <w:r w:rsidRPr="00575235">
        <w:rPr>
          <w:rFonts w:eastAsiaTheme="minorHAnsi"/>
          <w:lang w:eastAsia="en-US"/>
        </w:rPr>
        <w:t>.</w:t>
      </w:r>
    </w:p>
    <w:p w:rsidR="00E206D6" w:rsidRPr="00575235" w:rsidRDefault="00E206D6" w:rsidP="00575235">
      <w:pPr>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575235"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575235" w:rsidRDefault="00E87F7A" w:rsidP="00A46E98">
            <w:pPr>
              <w:rPr>
                <w:rFonts w:cs="Arial"/>
                <w:b/>
              </w:rPr>
            </w:pPr>
            <w:r w:rsidRPr="00575235">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575235" w:rsidRDefault="00922669" w:rsidP="00A46E98">
            <w:pPr>
              <w:rPr>
                <w:rFonts w:cs="Arial"/>
              </w:rPr>
            </w:pPr>
            <w:r w:rsidRPr="00575235">
              <w:rPr>
                <w:rFonts w:cs="Arial"/>
              </w:rPr>
              <w:t>Jane Winfield</w:t>
            </w:r>
          </w:p>
        </w:tc>
      </w:tr>
      <w:tr w:rsidR="00DF093E" w:rsidRPr="00575235" w:rsidTr="00A46E98">
        <w:trPr>
          <w:cantSplit/>
          <w:trHeight w:val="396"/>
        </w:trPr>
        <w:tc>
          <w:tcPr>
            <w:tcW w:w="3969" w:type="dxa"/>
            <w:tcBorders>
              <w:top w:val="nil"/>
              <w:left w:val="single" w:sz="8" w:space="0" w:color="000000"/>
              <w:bottom w:val="nil"/>
              <w:right w:val="nil"/>
            </w:tcBorders>
            <w:shd w:val="clear" w:color="auto" w:fill="auto"/>
          </w:tcPr>
          <w:p w:rsidR="002A2D09" w:rsidRDefault="002A2D09" w:rsidP="00A46E98">
            <w:pPr>
              <w:rPr>
                <w:rFonts w:cs="Arial"/>
              </w:rPr>
            </w:pPr>
            <w:r>
              <w:rPr>
                <w:rFonts w:cs="Arial"/>
              </w:rPr>
              <w:t>Job title</w:t>
            </w:r>
          </w:p>
          <w:p w:rsidR="002A2D09" w:rsidRDefault="002A2D09" w:rsidP="00A46E98">
            <w:pPr>
              <w:rPr>
                <w:rFonts w:cs="Arial"/>
              </w:rPr>
            </w:pPr>
            <w:r>
              <w:rPr>
                <w:rFonts w:cs="Arial"/>
              </w:rPr>
              <w:t>Service area or department</w:t>
            </w:r>
          </w:p>
          <w:p w:rsidR="002A2D09" w:rsidRDefault="002A2D09" w:rsidP="00A46E98">
            <w:pPr>
              <w:rPr>
                <w:rFonts w:cs="Arial"/>
              </w:rPr>
            </w:pPr>
          </w:p>
          <w:p w:rsidR="00E87F7A" w:rsidRPr="00575235" w:rsidRDefault="00E87F7A" w:rsidP="00A46E98">
            <w:pPr>
              <w:rPr>
                <w:rFonts w:cs="Arial"/>
              </w:rPr>
            </w:pPr>
            <w:r w:rsidRPr="00575235">
              <w:rPr>
                <w:rFonts w:cs="Arial"/>
              </w:rPr>
              <w:t xml:space="preserve">Telephone </w:t>
            </w:r>
          </w:p>
        </w:tc>
        <w:tc>
          <w:tcPr>
            <w:tcW w:w="4962" w:type="dxa"/>
            <w:tcBorders>
              <w:top w:val="nil"/>
              <w:left w:val="nil"/>
              <w:bottom w:val="nil"/>
              <w:right w:val="single" w:sz="8" w:space="0" w:color="000000"/>
            </w:tcBorders>
            <w:shd w:val="clear" w:color="auto" w:fill="auto"/>
          </w:tcPr>
          <w:p w:rsidR="002A2D09" w:rsidRDefault="002A2D09" w:rsidP="00922669">
            <w:pPr>
              <w:rPr>
                <w:rFonts w:cs="Arial"/>
              </w:rPr>
            </w:pPr>
            <w:r>
              <w:rPr>
                <w:rFonts w:cs="Arial"/>
              </w:rPr>
              <w:t>Regeneration and Major Projects Service Manager</w:t>
            </w:r>
          </w:p>
          <w:p w:rsidR="002A2D09" w:rsidRDefault="002A2D09" w:rsidP="00922669">
            <w:pPr>
              <w:rPr>
                <w:rFonts w:cs="Arial"/>
              </w:rPr>
            </w:pPr>
            <w:r>
              <w:rPr>
                <w:rFonts w:cs="Arial"/>
              </w:rPr>
              <w:t>Regeneration and Major Projects</w:t>
            </w:r>
          </w:p>
          <w:p w:rsidR="00E87F7A" w:rsidRPr="00575235" w:rsidRDefault="00FE0854" w:rsidP="00922669">
            <w:pPr>
              <w:rPr>
                <w:rFonts w:cs="Arial"/>
              </w:rPr>
            </w:pPr>
            <w:r w:rsidRPr="00575235">
              <w:rPr>
                <w:rFonts w:cs="Arial"/>
              </w:rPr>
              <w:t>0</w:t>
            </w:r>
            <w:r w:rsidR="00922669" w:rsidRPr="00575235">
              <w:rPr>
                <w:rFonts w:cs="Arial"/>
              </w:rPr>
              <w:t>1865 252551</w:t>
            </w:r>
          </w:p>
        </w:tc>
      </w:tr>
      <w:tr w:rsidR="005570B5" w:rsidRPr="00575235"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575235" w:rsidRDefault="00E87F7A" w:rsidP="00A46E98">
            <w:pPr>
              <w:rPr>
                <w:rFonts w:cs="Arial"/>
              </w:rPr>
            </w:pPr>
            <w:r w:rsidRPr="00575235">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575235" w:rsidRDefault="00922669" w:rsidP="00922669">
            <w:pPr>
              <w:rPr>
                <w:rStyle w:val="Hyperlink"/>
                <w:rFonts w:cs="Arial"/>
                <w:color w:val="000000"/>
              </w:rPr>
            </w:pPr>
            <w:r w:rsidRPr="00575235">
              <w:rPr>
                <w:rStyle w:val="Hyperlink"/>
                <w:rFonts w:cs="Arial"/>
                <w:color w:val="000000"/>
              </w:rPr>
              <w:t>jwinfield</w:t>
            </w:r>
            <w:r w:rsidR="004F4A56">
              <w:rPr>
                <w:rStyle w:val="Hyperlink"/>
                <w:rFonts w:cs="Arial"/>
                <w:color w:val="000000"/>
              </w:rPr>
              <w:t>@</w:t>
            </w:r>
            <w:r w:rsidR="00750782" w:rsidRPr="00575235">
              <w:rPr>
                <w:rStyle w:val="Hyperlink"/>
                <w:rFonts w:cs="Arial"/>
                <w:color w:val="000000"/>
              </w:rPr>
              <w:t>oxford.gov.uk</w:t>
            </w:r>
          </w:p>
        </w:tc>
      </w:tr>
    </w:tbl>
    <w:p w:rsidR="000F4481" w:rsidRPr="004F4A56" w:rsidRDefault="000F4481" w:rsidP="004F4A56">
      <w:pPr>
        <w:ind w:left="360"/>
        <w:jc w:val="both"/>
        <w:rPr>
          <w:rFonts w:cs="Arial"/>
        </w:rPr>
      </w:pPr>
    </w:p>
    <w:sectPr w:rsidR="000F4481" w:rsidRPr="004F4A56" w:rsidSect="00737C85">
      <w:footerReference w:type="even" r:id="rId9"/>
      <w:footerReference w:type="default" r:id="rId10"/>
      <w:headerReference w:type="first" r:id="rId11"/>
      <w:footerReference w:type="first" r:id="rId12"/>
      <w:pgSz w:w="11906" w:h="16838" w:code="9"/>
      <w:pgMar w:top="1418" w:right="1304" w:bottom="1304" w:left="1304" w:header="85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BF7" w:rsidRDefault="00DD4BF7" w:rsidP="004A6D2F">
      <w:r>
        <w:separator/>
      </w:r>
    </w:p>
  </w:endnote>
  <w:endnote w:type="continuationSeparator" w:id="0">
    <w:p w:rsidR="00DD4BF7" w:rsidRDefault="00DD4BF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C98" w:rsidRDefault="00707C98" w:rsidP="004A6D2F">
    <w:pPr>
      <w:pStyle w:val="Footer"/>
    </w:pPr>
    <w:r>
      <w:t>Do not use a footer or page numbers.</w:t>
    </w:r>
  </w:p>
  <w:p w:rsidR="00707C98" w:rsidRDefault="00707C98" w:rsidP="004A6D2F">
    <w:pPr>
      <w:pStyle w:val="Footer"/>
    </w:pPr>
  </w:p>
  <w:p w:rsidR="00707C98" w:rsidRDefault="00707C98"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F10" w:rsidRDefault="00702F10">
    <w:pPr>
      <w:pStyle w:val="Footer"/>
      <w:jc w:val="right"/>
    </w:pPr>
  </w:p>
  <w:p w:rsidR="00702F10" w:rsidRDefault="00702F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C98" w:rsidRDefault="00707C98"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BF7" w:rsidRDefault="00DD4BF7" w:rsidP="004A6D2F">
      <w:r>
        <w:separator/>
      </w:r>
    </w:p>
  </w:footnote>
  <w:footnote w:type="continuationSeparator" w:id="0">
    <w:p w:rsidR="00DD4BF7" w:rsidRDefault="00DD4BF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C98" w:rsidRDefault="00707C98" w:rsidP="00D5547E">
    <w:pPr>
      <w:pStyle w:val="Header"/>
      <w:jc w:val="right"/>
    </w:pPr>
    <w:r>
      <w:rPr>
        <w:noProof/>
      </w:rPr>
      <w:drawing>
        <wp:inline distT="0" distB="0" distL="0" distR="0" wp14:anchorId="6CA18C07" wp14:editId="0C85DDCF">
          <wp:extent cx="841375" cy="1116965"/>
          <wp:effectExtent l="0" t="0" r="0" b="698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DA0"/>
    <w:multiLevelType w:val="hybridMultilevel"/>
    <w:tmpl w:val="CEE228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19E3847"/>
    <w:multiLevelType w:val="hybridMultilevel"/>
    <w:tmpl w:val="0B8A21DA"/>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774243B"/>
    <w:multiLevelType w:val="hybridMultilevel"/>
    <w:tmpl w:val="F1B67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87F2302"/>
    <w:multiLevelType w:val="hybridMultilevel"/>
    <w:tmpl w:val="1BC6DA48"/>
    <w:lvl w:ilvl="0" w:tplc="3AEAA6F8">
      <w:start w:val="2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6">
    <w:nsid w:val="0C5F5D71"/>
    <w:multiLevelType w:val="hybridMultilevel"/>
    <w:tmpl w:val="789C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F5B474D"/>
    <w:multiLevelType w:val="hybridMultilevel"/>
    <w:tmpl w:val="155CD99C"/>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09C700E"/>
    <w:multiLevelType w:val="hybridMultilevel"/>
    <w:tmpl w:val="5422EF3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6319DD"/>
    <w:multiLevelType w:val="hybridMultilevel"/>
    <w:tmpl w:val="02EC6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B9852AD"/>
    <w:multiLevelType w:val="hybridMultilevel"/>
    <w:tmpl w:val="0DF261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F4437DD"/>
    <w:multiLevelType w:val="hybridMultilevel"/>
    <w:tmpl w:val="05E20304"/>
    <w:lvl w:ilvl="0" w:tplc="DACAF2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865AB0"/>
    <w:multiLevelType w:val="hybridMultilevel"/>
    <w:tmpl w:val="D9ECB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0A8089F"/>
    <w:multiLevelType w:val="hybridMultilevel"/>
    <w:tmpl w:val="DC74F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4CA026D"/>
    <w:multiLevelType w:val="hybridMultilevel"/>
    <w:tmpl w:val="91A86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8B90C56"/>
    <w:multiLevelType w:val="hybridMultilevel"/>
    <w:tmpl w:val="284AE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A885640"/>
    <w:multiLevelType w:val="hybridMultilevel"/>
    <w:tmpl w:val="3CC82AD6"/>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B00649B"/>
    <w:multiLevelType w:val="multilevel"/>
    <w:tmpl w:val="EBE096A6"/>
    <w:lvl w:ilvl="0">
      <w:start w:val="1"/>
      <w:numFmt w:val="none"/>
      <w:lvlText w:val="18"/>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2B0108E2"/>
    <w:multiLevelType w:val="hybridMultilevel"/>
    <w:tmpl w:val="773241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2B0B6F84"/>
    <w:multiLevelType w:val="multilevel"/>
    <w:tmpl w:val="0B8EC842"/>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287"/>
        </w:tabs>
        <w:ind w:left="1287" w:hanging="720"/>
      </w:pPr>
      <w:rPr>
        <w:rFonts w:ascii="Arial" w:hAnsi="Arial" w:cs="Arial" w:hint="default"/>
        <w:b w:val="0"/>
        <w:color w:val="auto"/>
        <w:sz w:val="20"/>
        <w:szCs w:val="20"/>
      </w:rPr>
    </w:lvl>
    <w:lvl w:ilvl="2">
      <w:start w:val="1"/>
      <w:numFmt w:val="bullet"/>
      <w:lvlText w:val=""/>
      <w:lvlJc w:val="left"/>
      <w:pPr>
        <w:tabs>
          <w:tab w:val="num" w:pos="2160"/>
        </w:tabs>
        <w:ind w:left="2160" w:hanging="720"/>
      </w:pPr>
      <w:rPr>
        <w:rFonts w:ascii="Symbol" w:hAnsi="Symbol" w:hint="default"/>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2DB35AFD"/>
    <w:multiLevelType w:val="singleLevel"/>
    <w:tmpl w:val="0809000F"/>
    <w:lvl w:ilvl="0">
      <w:start w:val="1"/>
      <w:numFmt w:val="decimal"/>
      <w:lvlText w:val="%1."/>
      <w:lvlJc w:val="left"/>
      <w:pPr>
        <w:ind w:left="360" w:hanging="360"/>
      </w:pPr>
      <w:rPr>
        <w:rFonts w:hint="default"/>
        <w:color w:val="000000"/>
        <w:sz w:val="24"/>
      </w:rPr>
    </w:lvl>
  </w:abstractNum>
  <w:abstractNum w:abstractNumId="22">
    <w:nsid w:val="320A6AA1"/>
    <w:multiLevelType w:val="hybridMultilevel"/>
    <w:tmpl w:val="D21632AA"/>
    <w:lvl w:ilvl="0" w:tplc="640CAE12">
      <w:start w:val="2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2633D89"/>
    <w:multiLevelType w:val="hybridMultilevel"/>
    <w:tmpl w:val="C6F43576"/>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7A90201"/>
    <w:multiLevelType w:val="hybridMultilevel"/>
    <w:tmpl w:val="8D7A244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9245839"/>
    <w:multiLevelType w:val="hybridMultilevel"/>
    <w:tmpl w:val="14CC1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A17398E"/>
    <w:multiLevelType w:val="hybridMultilevel"/>
    <w:tmpl w:val="76BEF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D0933F0"/>
    <w:multiLevelType w:val="hybridMultilevel"/>
    <w:tmpl w:val="1FC2B90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965382"/>
    <w:multiLevelType w:val="hybridMultilevel"/>
    <w:tmpl w:val="C164D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3EB1AFC"/>
    <w:multiLevelType w:val="hybridMultilevel"/>
    <w:tmpl w:val="CD98E5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A4973C6"/>
    <w:multiLevelType w:val="multilevel"/>
    <w:tmpl w:val="81EA69C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43A4559"/>
    <w:multiLevelType w:val="hybridMultilevel"/>
    <w:tmpl w:val="5CEE8E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8485C9E"/>
    <w:multiLevelType w:val="hybridMultilevel"/>
    <w:tmpl w:val="0E529B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99F5069"/>
    <w:multiLevelType w:val="hybridMultilevel"/>
    <w:tmpl w:val="D51E8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3863F50"/>
    <w:multiLevelType w:val="hybridMultilevel"/>
    <w:tmpl w:val="04DA6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DD301B"/>
    <w:multiLevelType w:val="hybridMultilevel"/>
    <w:tmpl w:val="4DC28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E70134"/>
    <w:multiLevelType w:val="hybridMultilevel"/>
    <w:tmpl w:val="61462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6CB13D5"/>
    <w:multiLevelType w:val="hybridMultilevel"/>
    <w:tmpl w:val="18980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98365C6"/>
    <w:multiLevelType w:val="multilevel"/>
    <w:tmpl w:val="E67CE66C"/>
    <w:numStyleLink w:val="StyleNumberedLeft0cmHanging075cm"/>
  </w:abstractNum>
  <w:abstractNum w:abstractNumId="40">
    <w:nsid w:val="79DC3607"/>
    <w:multiLevelType w:val="hybridMultilevel"/>
    <w:tmpl w:val="93C44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FA52229"/>
    <w:multiLevelType w:val="hybridMultilevel"/>
    <w:tmpl w:val="575E0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FEA01EC"/>
    <w:multiLevelType w:val="hybridMultilevel"/>
    <w:tmpl w:val="E0D288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9"/>
  </w:num>
  <w:num w:numId="3">
    <w:abstractNumId w:val="13"/>
  </w:num>
  <w:num w:numId="4">
    <w:abstractNumId w:val="3"/>
  </w:num>
  <w:num w:numId="5">
    <w:abstractNumId w:val="34"/>
  </w:num>
  <w:num w:numId="6">
    <w:abstractNumId w:val="21"/>
  </w:num>
  <w:num w:numId="7">
    <w:abstractNumId w:val="19"/>
  </w:num>
  <w:num w:numId="8">
    <w:abstractNumId w:val="41"/>
  </w:num>
  <w:num w:numId="9">
    <w:abstractNumId w:val="29"/>
  </w:num>
  <w:num w:numId="10">
    <w:abstractNumId w:val="16"/>
  </w:num>
  <w:num w:numId="11">
    <w:abstractNumId w:val="0"/>
  </w:num>
  <w:num w:numId="12">
    <w:abstractNumId w:val="31"/>
  </w:num>
  <w:num w:numId="13">
    <w:abstractNumId w:val="21"/>
    <w:lvlOverride w:ilvl="0">
      <w:startOverride w:val="1"/>
    </w:lvlOverride>
  </w:num>
  <w:num w:numId="14">
    <w:abstractNumId w:val="26"/>
  </w:num>
  <w:num w:numId="15">
    <w:abstractNumId w:val="42"/>
  </w:num>
  <w:num w:numId="16">
    <w:abstractNumId w:val="12"/>
  </w:num>
  <w:num w:numId="17">
    <w:abstractNumId w:val="36"/>
  </w:num>
  <w:num w:numId="18">
    <w:abstractNumId w:val="35"/>
  </w:num>
  <w:num w:numId="19">
    <w:abstractNumId w:val="9"/>
  </w:num>
  <w:num w:numId="20">
    <w:abstractNumId w:val="4"/>
  </w:num>
  <w:num w:numId="21">
    <w:abstractNumId w:val="33"/>
  </w:num>
  <w:num w:numId="22">
    <w:abstractNumId w:val="25"/>
  </w:num>
  <w:num w:numId="23">
    <w:abstractNumId w:val="6"/>
  </w:num>
  <w:num w:numId="24">
    <w:abstractNumId w:val="40"/>
  </w:num>
  <w:num w:numId="25">
    <w:abstractNumId w:val="38"/>
  </w:num>
  <w:num w:numId="26">
    <w:abstractNumId w:val="15"/>
  </w:num>
  <w:num w:numId="27">
    <w:abstractNumId w:val="28"/>
  </w:num>
  <w:num w:numId="28">
    <w:abstractNumId w:val="10"/>
  </w:num>
  <w:num w:numId="29">
    <w:abstractNumId w:val="37"/>
  </w:num>
  <w:num w:numId="30">
    <w:abstractNumId w:val="14"/>
  </w:num>
  <w:num w:numId="31">
    <w:abstractNumId w:val="18"/>
  </w:num>
  <w:num w:numId="32">
    <w:abstractNumId w:val="7"/>
  </w:num>
  <w:num w:numId="33">
    <w:abstractNumId w:val="23"/>
  </w:num>
  <w:num w:numId="34">
    <w:abstractNumId w:val="17"/>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24"/>
  </w:num>
  <w:num w:numId="4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
  </w:num>
  <w:num w:numId="45">
    <w:abstractNumId w:val="27"/>
  </w:num>
  <w:num w:numId="46">
    <w:abstractNumId w:val="5"/>
  </w:num>
  <w:num w:numId="47">
    <w:abstractNumId w:val="22"/>
  </w:num>
  <w:num w:numId="48">
    <w:abstractNumId w:val="32"/>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YLDE Alan">
    <w15:presenceInfo w15:providerId="AD" w15:userId="S-1-5-21-38480843-1272404328-111032338-26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29"/>
    <w:rsid w:val="00000C94"/>
    <w:rsid w:val="0000393F"/>
    <w:rsid w:val="000113C9"/>
    <w:rsid w:val="000117D4"/>
    <w:rsid w:val="0001586E"/>
    <w:rsid w:val="00023A1A"/>
    <w:rsid w:val="000268C8"/>
    <w:rsid w:val="000314D7"/>
    <w:rsid w:val="00032003"/>
    <w:rsid w:val="00045F8B"/>
    <w:rsid w:val="00046D2B"/>
    <w:rsid w:val="00056263"/>
    <w:rsid w:val="00064D8A"/>
    <w:rsid w:val="00064F82"/>
    <w:rsid w:val="00066510"/>
    <w:rsid w:val="000667FD"/>
    <w:rsid w:val="0007094D"/>
    <w:rsid w:val="00072B72"/>
    <w:rsid w:val="00075CCD"/>
    <w:rsid w:val="00077523"/>
    <w:rsid w:val="00084A07"/>
    <w:rsid w:val="00092025"/>
    <w:rsid w:val="000B1C69"/>
    <w:rsid w:val="000B2C57"/>
    <w:rsid w:val="000B371A"/>
    <w:rsid w:val="000C089F"/>
    <w:rsid w:val="000C3928"/>
    <w:rsid w:val="000C5E8E"/>
    <w:rsid w:val="000C7318"/>
    <w:rsid w:val="000D4345"/>
    <w:rsid w:val="000E1CFC"/>
    <w:rsid w:val="000E3620"/>
    <w:rsid w:val="000F417B"/>
    <w:rsid w:val="000F4481"/>
    <w:rsid w:val="000F4751"/>
    <w:rsid w:val="00101AE2"/>
    <w:rsid w:val="0010524C"/>
    <w:rsid w:val="0010763E"/>
    <w:rsid w:val="00107E75"/>
    <w:rsid w:val="00111FB1"/>
    <w:rsid w:val="00113418"/>
    <w:rsid w:val="00114C3E"/>
    <w:rsid w:val="00115F26"/>
    <w:rsid w:val="00133E0C"/>
    <w:rsid w:val="001356F1"/>
    <w:rsid w:val="00136994"/>
    <w:rsid w:val="0014128E"/>
    <w:rsid w:val="00146C4F"/>
    <w:rsid w:val="00151888"/>
    <w:rsid w:val="00156BFE"/>
    <w:rsid w:val="001606C2"/>
    <w:rsid w:val="00160901"/>
    <w:rsid w:val="00170A2D"/>
    <w:rsid w:val="00175E59"/>
    <w:rsid w:val="001761CB"/>
    <w:rsid w:val="00177246"/>
    <w:rsid w:val="001808BC"/>
    <w:rsid w:val="00182B81"/>
    <w:rsid w:val="0018619D"/>
    <w:rsid w:val="00186258"/>
    <w:rsid w:val="00195B34"/>
    <w:rsid w:val="001A011E"/>
    <w:rsid w:val="001A066A"/>
    <w:rsid w:val="001A13E6"/>
    <w:rsid w:val="001A5731"/>
    <w:rsid w:val="001B42C3"/>
    <w:rsid w:val="001C3084"/>
    <w:rsid w:val="001C4D18"/>
    <w:rsid w:val="001C5D5E"/>
    <w:rsid w:val="001D4D6D"/>
    <w:rsid w:val="001D678D"/>
    <w:rsid w:val="001E03F8"/>
    <w:rsid w:val="001E1678"/>
    <w:rsid w:val="001E1B85"/>
    <w:rsid w:val="001E266B"/>
    <w:rsid w:val="001E3376"/>
    <w:rsid w:val="001F31D2"/>
    <w:rsid w:val="002069B3"/>
    <w:rsid w:val="002162B8"/>
    <w:rsid w:val="002171F4"/>
    <w:rsid w:val="002241ED"/>
    <w:rsid w:val="002329CF"/>
    <w:rsid w:val="00232F5B"/>
    <w:rsid w:val="00247C29"/>
    <w:rsid w:val="00260467"/>
    <w:rsid w:val="00262A9D"/>
    <w:rsid w:val="00263EA3"/>
    <w:rsid w:val="00264568"/>
    <w:rsid w:val="002738A2"/>
    <w:rsid w:val="00283B69"/>
    <w:rsid w:val="00284F85"/>
    <w:rsid w:val="00290915"/>
    <w:rsid w:val="002A100D"/>
    <w:rsid w:val="002A22E2"/>
    <w:rsid w:val="002A2D09"/>
    <w:rsid w:val="002A4510"/>
    <w:rsid w:val="002B35E0"/>
    <w:rsid w:val="002C64F7"/>
    <w:rsid w:val="002D053C"/>
    <w:rsid w:val="002F41F2"/>
    <w:rsid w:val="00301BF3"/>
    <w:rsid w:val="0030208D"/>
    <w:rsid w:val="003035D9"/>
    <w:rsid w:val="003165D8"/>
    <w:rsid w:val="00323418"/>
    <w:rsid w:val="003357BF"/>
    <w:rsid w:val="003464E1"/>
    <w:rsid w:val="00361C76"/>
    <w:rsid w:val="0036423D"/>
    <w:rsid w:val="00364FAD"/>
    <w:rsid w:val="0036738F"/>
    <w:rsid w:val="0036759C"/>
    <w:rsid w:val="00367AE5"/>
    <w:rsid w:val="00367D71"/>
    <w:rsid w:val="00370027"/>
    <w:rsid w:val="00370487"/>
    <w:rsid w:val="00373BD7"/>
    <w:rsid w:val="0038150A"/>
    <w:rsid w:val="0039194E"/>
    <w:rsid w:val="0039357B"/>
    <w:rsid w:val="003A26FD"/>
    <w:rsid w:val="003A5955"/>
    <w:rsid w:val="003A76C8"/>
    <w:rsid w:val="003B0980"/>
    <w:rsid w:val="003B6E75"/>
    <w:rsid w:val="003B7DA1"/>
    <w:rsid w:val="003C5012"/>
    <w:rsid w:val="003C5775"/>
    <w:rsid w:val="003D0379"/>
    <w:rsid w:val="003D1756"/>
    <w:rsid w:val="003D2574"/>
    <w:rsid w:val="003D4C59"/>
    <w:rsid w:val="003F4267"/>
    <w:rsid w:val="00404032"/>
    <w:rsid w:val="00405CF0"/>
    <w:rsid w:val="0040736F"/>
    <w:rsid w:val="00412C1F"/>
    <w:rsid w:val="0041439C"/>
    <w:rsid w:val="0042030E"/>
    <w:rsid w:val="00420DB0"/>
    <w:rsid w:val="00421CB2"/>
    <w:rsid w:val="004268B9"/>
    <w:rsid w:val="00433B96"/>
    <w:rsid w:val="004365F8"/>
    <w:rsid w:val="004440F1"/>
    <w:rsid w:val="004456DD"/>
    <w:rsid w:val="00445C7E"/>
    <w:rsid w:val="00446CDF"/>
    <w:rsid w:val="00450474"/>
    <w:rsid w:val="004521B7"/>
    <w:rsid w:val="004566CB"/>
    <w:rsid w:val="00457873"/>
    <w:rsid w:val="00462AB5"/>
    <w:rsid w:val="00462D8A"/>
    <w:rsid w:val="004653AD"/>
    <w:rsid w:val="00465EAF"/>
    <w:rsid w:val="004711FC"/>
    <w:rsid w:val="004738C5"/>
    <w:rsid w:val="00473F3E"/>
    <w:rsid w:val="00475860"/>
    <w:rsid w:val="004804B9"/>
    <w:rsid w:val="00484329"/>
    <w:rsid w:val="00487092"/>
    <w:rsid w:val="00491046"/>
    <w:rsid w:val="004A043B"/>
    <w:rsid w:val="004A27B5"/>
    <w:rsid w:val="004A2AC7"/>
    <w:rsid w:val="004A3E93"/>
    <w:rsid w:val="004A6D2F"/>
    <w:rsid w:val="004B1835"/>
    <w:rsid w:val="004C2887"/>
    <w:rsid w:val="004D2626"/>
    <w:rsid w:val="004D6E26"/>
    <w:rsid w:val="004D77D3"/>
    <w:rsid w:val="004E2959"/>
    <w:rsid w:val="004F20EF"/>
    <w:rsid w:val="004F298B"/>
    <w:rsid w:val="004F4A56"/>
    <w:rsid w:val="004F58F7"/>
    <w:rsid w:val="004F7774"/>
    <w:rsid w:val="00502412"/>
    <w:rsid w:val="0050321C"/>
    <w:rsid w:val="00505EA4"/>
    <w:rsid w:val="00507FE0"/>
    <w:rsid w:val="00525F6A"/>
    <w:rsid w:val="005268C5"/>
    <w:rsid w:val="005427A0"/>
    <w:rsid w:val="0054712D"/>
    <w:rsid w:val="00547EF6"/>
    <w:rsid w:val="00550211"/>
    <w:rsid w:val="00552930"/>
    <w:rsid w:val="00554C9B"/>
    <w:rsid w:val="005570B5"/>
    <w:rsid w:val="00560AC5"/>
    <w:rsid w:val="00566E73"/>
    <w:rsid w:val="00567E18"/>
    <w:rsid w:val="0057130A"/>
    <w:rsid w:val="00574982"/>
    <w:rsid w:val="00575235"/>
    <w:rsid w:val="00575F5F"/>
    <w:rsid w:val="005807BA"/>
    <w:rsid w:val="00581805"/>
    <w:rsid w:val="00585F76"/>
    <w:rsid w:val="00591686"/>
    <w:rsid w:val="005A10AD"/>
    <w:rsid w:val="005A34E4"/>
    <w:rsid w:val="005A60D1"/>
    <w:rsid w:val="005B17F2"/>
    <w:rsid w:val="005B195B"/>
    <w:rsid w:val="005B7FB0"/>
    <w:rsid w:val="005C35A5"/>
    <w:rsid w:val="005C577C"/>
    <w:rsid w:val="005C7E85"/>
    <w:rsid w:val="005D0621"/>
    <w:rsid w:val="005D1E27"/>
    <w:rsid w:val="005D2A3E"/>
    <w:rsid w:val="005E022E"/>
    <w:rsid w:val="005E38FD"/>
    <w:rsid w:val="005E5215"/>
    <w:rsid w:val="005F3F9E"/>
    <w:rsid w:val="005F7F7E"/>
    <w:rsid w:val="00607D7C"/>
    <w:rsid w:val="00614693"/>
    <w:rsid w:val="00623C2F"/>
    <w:rsid w:val="00627066"/>
    <w:rsid w:val="00633578"/>
    <w:rsid w:val="00636D62"/>
    <w:rsid w:val="00637068"/>
    <w:rsid w:val="00645945"/>
    <w:rsid w:val="00645BA8"/>
    <w:rsid w:val="00646C1F"/>
    <w:rsid w:val="00650811"/>
    <w:rsid w:val="00656973"/>
    <w:rsid w:val="00656FDA"/>
    <w:rsid w:val="00661D3E"/>
    <w:rsid w:val="006628EA"/>
    <w:rsid w:val="00675D2E"/>
    <w:rsid w:val="0068312A"/>
    <w:rsid w:val="00692627"/>
    <w:rsid w:val="00693EC9"/>
    <w:rsid w:val="00694382"/>
    <w:rsid w:val="006951D2"/>
    <w:rsid w:val="0069627F"/>
    <w:rsid w:val="006969E7"/>
    <w:rsid w:val="006A3595"/>
    <w:rsid w:val="006A3643"/>
    <w:rsid w:val="006C2A29"/>
    <w:rsid w:val="006C64CF"/>
    <w:rsid w:val="006C6D5D"/>
    <w:rsid w:val="006D052F"/>
    <w:rsid w:val="006D17B1"/>
    <w:rsid w:val="006D4752"/>
    <w:rsid w:val="006D708A"/>
    <w:rsid w:val="006E14C1"/>
    <w:rsid w:val="006E2ADB"/>
    <w:rsid w:val="006F0292"/>
    <w:rsid w:val="006F107D"/>
    <w:rsid w:val="006F27FA"/>
    <w:rsid w:val="006F416B"/>
    <w:rsid w:val="006F519B"/>
    <w:rsid w:val="00702F10"/>
    <w:rsid w:val="00707C98"/>
    <w:rsid w:val="007133D8"/>
    <w:rsid w:val="00713675"/>
    <w:rsid w:val="00715823"/>
    <w:rsid w:val="00724962"/>
    <w:rsid w:val="00730749"/>
    <w:rsid w:val="0073257B"/>
    <w:rsid w:val="007337DF"/>
    <w:rsid w:val="0073566C"/>
    <w:rsid w:val="007359CC"/>
    <w:rsid w:val="007367F6"/>
    <w:rsid w:val="00737B93"/>
    <w:rsid w:val="00737C85"/>
    <w:rsid w:val="00740B8D"/>
    <w:rsid w:val="007413BB"/>
    <w:rsid w:val="0074315C"/>
    <w:rsid w:val="00745BF0"/>
    <w:rsid w:val="00747E50"/>
    <w:rsid w:val="00750782"/>
    <w:rsid w:val="0075278D"/>
    <w:rsid w:val="007615FE"/>
    <w:rsid w:val="0076335E"/>
    <w:rsid w:val="0076655C"/>
    <w:rsid w:val="00772E55"/>
    <w:rsid w:val="007739F1"/>
    <w:rsid w:val="007742DC"/>
    <w:rsid w:val="00781DAC"/>
    <w:rsid w:val="00785B28"/>
    <w:rsid w:val="00787226"/>
    <w:rsid w:val="00791437"/>
    <w:rsid w:val="007A2866"/>
    <w:rsid w:val="007B0C2C"/>
    <w:rsid w:val="007B18DF"/>
    <w:rsid w:val="007B278E"/>
    <w:rsid w:val="007C0DE5"/>
    <w:rsid w:val="007C160C"/>
    <w:rsid w:val="007C365E"/>
    <w:rsid w:val="007C5C23"/>
    <w:rsid w:val="007C6F19"/>
    <w:rsid w:val="007E2A26"/>
    <w:rsid w:val="007E4CEC"/>
    <w:rsid w:val="007F2348"/>
    <w:rsid w:val="00803F07"/>
    <w:rsid w:val="008042E9"/>
    <w:rsid w:val="0080749A"/>
    <w:rsid w:val="0081127D"/>
    <w:rsid w:val="00821FB8"/>
    <w:rsid w:val="00822ACD"/>
    <w:rsid w:val="00840B10"/>
    <w:rsid w:val="0084453C"/>
    <w:rsid w:val="008512F7"/>
    <w:rsid w:val="00855C66"/>
    <w:rsid w:val="00864603"/>
    <w:rsid w:val="00871EE4"/>
    <w:rsid w:val="008733D6"/>
    <w:rsid w:val="008818B7"/>
    <w:rsid w:val="00884D1C"/>
    <w:rsid w:val="008942B1"/>
    <w:rsid w:val="00896566"/>
    <w:rsid w:val="00897801"/>
    <w:rsid w:val="008B293F"/>
    <w:rsid w:val="008B593E"/>
    <w:rsid w:val="008B7371"/>
    <w:rsid w:val="008B7B7A"/>
    <w:rsid w:val="008C247C"/>
    <w:rsid w:val="008D10B0"/>
    <w:rsid w:val="008D11F4"/>
    <w:rsid w:val="008D3DDB"/>
    <w:rsid w:val="008E78E1"/>
    <w:rsid w:val="008F573F"/>
    <w:rsid w:val="008F70A7"/>
    <w:rsid w:val="008F7CC4"/>
    <w:rsid w:val="009034EC"/>
    <w:rsid w:val="00907C06"/>
    <w:rsid w:val="00922669"/>
    <w:rsid w:val="00927573"/>
    <w:rsid w:val="0093067A"/>
    <w:rsid w:val="009347AE"/>
    <w:rsid w:val="00941C60"/>
    <w:rsid w:val="00941FD1"/>
    <w:rsid w:val="009467AC"/>
    <w:rsid w:val="00955C90"/>
    <w:rsid w:val="00962C1E"/>
    <w:rsid w:val="00963593"/>
    <w:rsid w:val="00966D42"/>
    <w:rsid w:val="00970FD1"/>
    <w:rsid w:val="00971689"/>
    <w:rsid w:val="00973E90"/>
    <w:rsid w:val="00975B07"/>
    <w:rsid w:val="00980B4A"/>
    <w:rsid w:val="0098546B"/>
    <w:rsid w:val="009A76D0"/>
    <w:rsid w:val="009B3AF0"/>
    <w:rsid w:val="009E3D0A"/>
    <w:rsid w:val="009E51FC"/>
    <w:rsid w:val="009F1D28"/>
    <w:rsid w:val="009F7618"/>
    <w:rsid w:val="00A0266C"/>
    <w:rsid w:val="00A04D23"/>
    <w:rsid w:val="00A06766"/>
    <w:rsid w:val="00A0771E"/>
    <w:rsid w:val="00A12CB8"/>
    <w:rsid w:val="00A130EB"/>
    <w:rsid w:val="00A13765"/>
    <w:rsid w:val="00A21B12"/>
    <w:rsid w:val="00A232EB"/>
    <w:rsid w:val="00A23F80"/>
    <w:rsid w:val="00A3024F"/>
    <w:rsid w:val="00A37A61"/>
    <w:rsid w:val="00A4234D"/>
    <w:rsid w:val="00A464C4"/>
    <w:rsid w:val="00A46E98"/>
    <w:rsid w:val="00A6352B"/>
    <w:rsid w:val="00A6491A"/>
    <w:rsid w:val="00A66F58"/>
    <w:rsid w:val="00A701B5"/>
    <w:rsid w:val="00A714BB"/>
    <w:rsid w:val="00A7466F"/>
    <w:rsid w:val="00A77147"/>
    <w:rsid w:val="00A810FC"/>
    <w:rsid w:val="00A84706"/>
    <w:rsid w:val="00A84925"/>
    <w:rsid w:val="00A9198A"/>
    <w:rsid w:val="00A92D8F"/>
    <w:rsid w:val="00A93DDA"/>
    <w:rsid w:val="00A955E7"/>
    <w:rsid w:val="00AB2988"/>
    <w:rsid w:val="00AB4DB4"/>
    <w:rsid w:val="00AB5546"/>
    <w:rsid w:val="00AB5D12"/>
    <w:rsid w:val="00AB7999"/>
    <w:rsid w:val="00AC3EAA"/>
    <w:rsid w:val="00AD182A"/>
    <w:rsid w:val="00AD3292"/>
    <w:rsid w:val="00AE6397"/>
    <w:rsid w:val="00AE7AF0"/>
    <w:rsid w:val="00AF1F30"/>
    <w:rsid w:val="00AF5B39"/>
    <w:rsid w:val="00AF62B4"/>
    <w:rsid w:val="00B02023"/>
    <w:rsid w:val="00B044C6"/>
    <w:rsid w:val="00B1504F"/>
    <w:rsid w:val="00B31F0C"/>
    <w:rsid w:val="00B3365D"/>
    <w:rsid w:val="00B350A9"/>
    <w:rsid w:val="00B35A1F"/>
    <w:rsid w:val="00B500CA"/>
    <w:rsid w:val="00B53D92"/>
    <w:rsid w:val="00B61BAC"/>
    <w:rsid w:val="00B620EE"/>
    <w:rsid w:val="00B72DE8"/>
    <w:rsid w:val="00B86314"/>
    <w:rsid w:val="00BA1C2E"/>
    <w:rsid w:val="00BA453E"/>
    <w:rsid w:val="00BC200B"/>
    <w:rsid w:val="00BC2969"/>
    <w:rsid w:val="00BC4756"/>
    <w:rsid w:val="00BC69A4"/>
    <w:rsid w:val="00BC6E74"/>
    <w:rsid w:val="00BD0A36"/>
    <w:rsid w:val="00BE0680"/>
    <w:rsid w:val="00BE305F"/>
    <w:rsid w:val="00BE36E5"/>
    <w:rsid w:val="00BE62B5"/>
    <w:rsid w:val="00BE7BA3"/>
    <w:rsid w:val="00BF5682"/>
    <w:rsid w:val="00BF7B09"/>
    <w:rsid w:val="00C02439"/>
    <w:rsid w:val="00C054E1"/>
    <w:rsid w:val="00C063D2"/>
    <w:rsid w:val="00C0652D"/>
    <w:rsid w:val="00C1575B"/>
    <w:rsid w:val="00C20A95"/>
    <w:rsid w:val="00C2692F"/>
    <w:rsid w:val="00C3207C"/>
    <w:rsid w:val="00C348AE"/>
    <w:rsid w:val="00C35C8E"/>
    <w:rsid w:val="00C400E1"/>
    <w:rsid w:val="00C40259"/>
    <w:rsid w:val="00C41187"/>
    <w:rsid w:val="00C44B54"/>
    <w:rsid w:val="00C53BE7"/>
    <w:rsid w:val="00C6293B"/>
    <w:rsid w:val="00C63BC2"/>
    <w:rsid w:val="00C63C31"/>
    <w:rsid w:val="00C7349D"/>
    <w:rsid w:val="00C757A0"/>
    <w:rsid w:val="00C760DE"/>
    <w:rsid w:val="00C82630"/>
    <w:rsid w:val="00C82AC0"/>
    <w:rsid w:val="00C85B4E"/>
    <w:rsid w:val="00C907F7"/>
    <w:rsid w:val="00C92729"/>
    <w:rsid w:val="00CA2103"/>
    <w:rsid w:val="00CB6B99"/>
    <w:rsid w:val="00CC68B0"/>
    <w:rsid w:val="00CD6438"/>
    <w:rsid w:val="00CE4C87"/>
    <w:rsid w:val="00CE544A"/>
    <w:rsid w:val="00D0204E"/>
    <w:rsid w:val="00D04CB0"/>
    <w:rsid w:val="00D07EAF"/>
    <w:rsid w:val="00D11E1C"/>
    <w:rsid w:val="00D12FA3"/>
    <w:rsid w:val="00D160B0"/>
    <w:rsid w:val="00D17F94"/>
    <w:rsid w:val="00D20A1A"/>
    <w:rsid w:val="00D223FC"/>
    <w:rsid w:val="00D26D1E"/>
    <w:rsid w:val="00D27868"/>
    <w:rsid w:val="00D32193"/>
    <w:rsid w:val="00D460CD"/>
    <w:rsid w:val="00D474CF"/>
    <w:rsid w:val="00D5547E"/>
    <w:rsid w:val="00D664D2"/>
    <w:rsid w:val="00D777C2"/>
    <w:rsid w:val="00D843C3"/>
    <w:rsid w:val="00D869A1"/>
    <w:rsid w:val="00D92DD4"/>
    <w:rsid w:val="00D94D96"/>
    <w:rsid w:val="00DA3E3D"/>
    <w:rsid w:val="00DA413F"/>
    <w:rsid w:val="00DA4584"/>
    <w:rsid w:val="00DA614B"/>
    <w:rsid w:val="00DB1B80"/>
    <w:rsid w:val="00DB27EA"/>
    <w:rsid w:val="00DB3586"/>
    <w:rsid w:val="00DB773D"/>
    <w:rsid w:val="00DC2E03"/>
    <w:rsid w:val="00DC3060"/>
    <w:rsid w:val="00DC5214"/>
    <w:rsid w:val="00DC61EC"/>
    <w:rsid w:val="00DC6D17"/>
    <w:rsid w:val="00DD4BF7"/>
    <w:rsid w:val="00DE0FB2"/>
    <w:rsid w:val="00DE12F5"/>
    <w:rsid w:val="00DF093E"/>
    <w:rsid w:val="00DF1666"/>
    <w:rsid w:val="00E01F42"/>
    <w:rsid w:val="00E13656"/>
    <w:rsid w:val="00E17C05"/>
    <w:rsid w:val="00E17C83"/>
    <w:rsid w:val="00E206D6"/>
    <w:rsid w:val="00E21747"/>
    <w:rsid w:val="00E256BE"/>
    <w:rsid w:val="00E30EF2"/>
    <w:rsid w:val="00E3318B"/>
    <w:rsid w:val="00E3366E"/>
    <w:rsid w:val="00E34794"/>
    <w:rsid w:val="00E52086"/>
    <w:rsid w:val="00E543A6"/>
    <w:rsid w:val="00E60479"/>
    <w:rsid w:val="00E61D73"/>
    <w:rsid w:val="00E66993"/>
    <w:rsid w:val="00E73684"/>
    <w:rsid w:val="00E818D6"/>
    <w:rsid w:val="00E87F7A"/>
    <w:rsid w:val="00E946D6"/>
    <w:rsid w:val="00E96BD7"/>
    <w:rsid w:val="00EA0DB1"/>
    <w:rsid w:val="00EA0EE9"/>
    <w:rsid w:val="00EA1336"/>
    <w:rsid w:val="00EA29B5"/>
    <w:rsid w:val="00EB7D34"/>
    <w:rsid w:val="00ED52CA"/>
    <w:rsid w:val="00ED5860"/>
    <w:rsid w:val="00EE1528"/>
    <w:rsid w:val="00EE35C9"/>
    <w:rsid w:val="00EE36FD"/>
    <w:rsid w:val="00EF43CD"/>
    <w:rsid w:val="00F05ECA"/>
    <w:rsid w:val="00F0637E"/>
    <w:rsid w:val="00F11964"/>
    <w:rsid w:val="00F12BCD"/>
    <w:rsid w:val="00F13EB5"/>
    <w:rsid w:val="00F229B8"/>
    <w:rsid w:val="00F3566E"/>
    <w:rsid w:val="00F375FB"/>
    <w:rsid w:val="00F41AC1"/>
    <w:rsid w:val="00F4367A"/>
    <w:rsid w:val="00F445B1"/>
    <w:rsid w:val="00F45CD4"/>
    <w:rsid w:val="00F537FC"/>
    <w:rsid w:val="00F655CC"/>
    <w:rsid w:val="00F66DCA"/>
    <w:rsid w:val="00F73D39"/>
    <w:rsid w:val="00F74C30"/>
    <w:rsid w:val="00F74F53"/>
    <w:rsid w:val="00F7606D"/>
    <w:rsid w:val="00F81670"/>
    <w:rsid w:val="00F82024"/>
    <w:rsid w:val="00F8225B"/>
    <w:rsid w:val="00F937BE"/>
    <w:rsid w:val="00F95BC9"/>
    <w:rsid w:val="00F972F7"/>
    <w:rsid w:val="00FA165B"/>
    <w:rsid w:val="00FA624C"/>
    <w:rsid w:val="00FB2B61"/>
    <w:rsid w:val="00FB51BE"/>
    <w:rsid w:val="00FB783B"/>
    <w:rsid w:val="00FB7F38"/>
    <w:rsid w:val="00FC269F"/>
    <w:rsid w:val="00FC29CC"/>
    <w:rsid w:val="00FD0FAC"/>
    <w:rsid w:val="00FD0FE4"/>
    <w:rsid w:val="00FD1DFA"/>
    <w:rsid w:val="00FD2AD3"/>
    <w:rsid w:val="00FD4966"/>
    <w:rsid w:val="00FE0854"/>
    <w:rsid w:val="00FE1DFA"/>
    <w:rsid w:val="00FE2377"/>
    <w:rsid w:val="00FE4EB1"/>
    <w:rsid w:val="00FE57DC"/>
    <w:rsid w:val="00FE7D80"/>
    <w:rsid w:val="00FF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94382"/>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Emphasis">
    <w:name w:val="Emphasis"/>
    <w:basedOn w:val="DefaultParagraphFont"/>
    <w:qFormat/>
    <w:rsid w:val="00C92729"/>
    <w:rPr>
      <w:i/>
      <w:iCs/>
    </w:rPr>
  </w:style>
  <w:style w:type="table" w:customStyle="1" w:styleId="TableGrid1">
    <w:name w:val="Table Grid1"/>
    <w:basedOn w:val="TableNormal"/>
    <w:next w:val="TableGrid"/>
    <w:rsid w:val="00FB7F38"/>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0B10"/>
    <w:pPr>
      <w:autoSpaceDE w:val="0"/>
      <w:autoSpaceDN w:val="0"/>
      <w:adjustRightInd w:val="0"/>
    </w:pPr>
    <w:rPr>
      <w:rFonts w:cs="Arial"/>
      <w:color w:val="000000"/>
      <w:sz w:val="24"/>
      <w:szCs w:val="24"/>
    </w:rPr>
  </w:style>
  <w:style w:type="character" w:customStyle="1" w:styleId="FooterChar">
    <w:name w:val="Footer Char"/>
    <w:aliases w:val="zzFooter Char"/>
    <w:basedOn w:val="DefaultParagraphFont"/>
    <w:link w:val="Footer"/>
    <w:uiPriority w:val="99"/>
    <w:rsid w:val="00702F10"/>
    <w:rPr>
      <w:color w:val="000000"/>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94382"/>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Emphasis">
    <w:name w:val="Emphasis"/>
    <w:basedOn w:val="DefaultParagraphFont"/>
    <w:qFormat/>
    <w:rsid w:val="00C92729"/>
    <w:rPr>
      <w:i/>
      <w:iCs/>
    </w:rPr>
  </w:style>
  <w:style w:type="table" w:customStyle="1" w:styleId="TableGrid1">
    <w:name w:val="Table Grid1"/>
    <w:basedOn w:val="TableNormal"/>
    <w:next w:val="TableGrid"/>
    <w:rsid w:val="00FB7F38"/>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0B10"/>
    <w:pPr>
      <w:autoSpaceDE w:val="0"/>
      <w:autoSpaceDN w:val="0"/>
      <w:adjustRightInd w:val="0"/>
    </w:pPr>
    <w:rPr>
      <w:rFonts w:cs="Arial"/>
      <w:color w:val="000000"/>
      <w:sz w:val="24"/>
      <w:szCs w:val="24"/>
    </w:rPr>
  </w:style>
  <w:style w:type="character" w:customStyle="1" w:styleId="FooterChar">
    <w:name w:val="Footer Char"/>
    <w:aliases w:val="zzFooter Char"/>
    <w:basedOn w:val="DefaultParagraphFont"/>
    <w:link w:val="Footer"/>
    <w:uiPriority w:val="99"/>
    <w:rsid w:val="00702F10"/>
    <w:rPr>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422414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46672965">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5887739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0210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EAFF9-EC0E-46F4-A3AC-3DE902111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355532CD</Template>
  <TotalTime>13</TotalTime>
  <Pages>6</Pages>
  <Words>2131</Words>
  <Characters>10920</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cphythian</dc:creator>
  <cp:lastModifiedBy>jthompson</cp:lastModifiedBy>
  <cp:revision>9</cp:revision>
  <cp:lastPrinted>2019-09-10T11:13:00Z</cp:lastPrinted>
  <dcterms:created xsi:type="dcterms:W3CDTF">2019-09-10T11:43:00Z</dcterms:created>
  <dcterms:modified xsi:type="dcterms:W3CDTF">2019-09-17T11:53:00Z</dcterms:modified>
</cp:coreProperties>
</file>